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7AC" w:rsidRDefault="00D327AC">
      <w:pPr>
        <w:tabs>
          <w:tab w:val="right" w:leader="dot" w:pos="7920"/>
        </w:tabs>
        <w:rPr>
          <w:rFonts w:ascii="Times New Roman" w:hAnsi="Times New Roman" w:cs="Times New Roman"/>
          <w:b/>
          <w:sz w:val="2"/>
          <w:szCs w:val="16"/>
          <w:vertAlign w:val="superscript"/>
        </w:rPr>
      </w:pPr>
    </w:p>
    <w:tbl>
      <w:tblPr>
        <w:tblW w:w="9498" w:type="dxa"/>
        <w:jc w:val="center"/>
        <w:tblLook w:val="04A0" w:firstRow="1" w:lastRow="0" w:firstColumn="1" w:lastColumn="0" w:noHBand="0" w:noVBand="1"/>
      </w:tblPr>
      <w:tblGrid>
        <w:gridCol w:w="3918"/>
        <w:gridCol w:w="5580"/>
      </w:tblGrid>
      <w:tr w:rsidR="00D327AC">
        <w:trPr>
          <w:trHeight w:val="684"/>
          <w:jc w:val="center"/>
        </w:trPr>
        <w:tc>
          <w:tcPr>
            <w:tcW w:w="3918" w:type="dxa"/>
          </w:tcPr>
          <w:p w:rsidR="00D327AC" w:rsidRDefault="00C3636C">
            <w:pPr>
              <w:pStyle w:val="Title"/>
              <w:rPr>
                <w:bCs w:val="0"/>
                <w:sz w:val="26"/>
                <w:szCs w:val="26"/>
              </w:rPr>
            </w:pPr>
            <w:r>
              <w:rPr>
                <w:bCs w:val="0"/>
                <w:sz w:val="26"/>
                <w:szCs w:val="26"/>
              </w:rPr>
              <w:t>ỦY BAN NHÂN DÂN</w:t>
            </w:r>
          </w:p>
          <w:p w:rsidR="00D327AC" w:rsidRDefault="00C3636C">
            <w:pPr>
              <w:ind w:left="-113" w:right="-113"/>
              <w:jc w:val="center"/>
              <w:rPr>
                <w:rFonts w:ascii="Times New Roman" w:hAnsi="Times New Roman" w:cs="Times New Roman"/>
                <w:b/>
                <w:sz w:val="26"/>
                <w:szCs w:val="26"/>
              </w:rPr>
            </w:pPr>
            <w:r>
              <w:rPr>
                <w:rFonts w:ascii="Times New Roman" w:hAnsi="Times New Roman" w:cs="Times New Roman"/>
                <w:b/>
                <w:sz w:val="26"/>
                <w:szCs w:val="26"/>
              </w:rPr>
              <w:t>THÀNH PHỐ HỒ CHÍ MINH</w:t>
            </w:r>
          </w:p>
          <w:p w:rsidR="00D327AC" w:rsidRDefault="00C3636C">
            <w:pPr>
              <w:ind w:left="-113" w:right="-113"/>
              <w:jc w:val="center"/>
              <w:rPr>
                <w:rFonts w:ascii="Times New Roman" w:hAnsi="Times New Roman" w:cs="Times New Roman"/>
                <w:spacing w:val="-18"/>
                <w:sz w:val="26"/>
                <w:szCs w:val="26"/>
              </w:rPr>
            </w:pPr>
            <w:r>
              <w:rPr>
                <w:rFonts w:ascii="Times New Roman" w:hAnsi="Times New Roman" w:cs="Times New Roman"/>
                <w:noProof/>
                <w:sz w:val="26"/>
                <w:szCs w:val="26"/>
                <w:lang w:val="en-US" w:eastAsia="en-US"/>
              </w:rPr>
              <mc:AlternateContent>
                <mc:Choice Requires="wps">
                  <w:drawing>
                    <wp:anchor distT="0" distB="0" distL="114300" distR="114300" simplePos="0" relativeHeight="251659264" behindDoc="0" locked="0" layoutInCell="1" allowOverlap="1">
                      <wp:simplePos x="0" y="0"/>
                      <wp:positionH relativeFrom="column">
                        <wp:posOffset>801370</wp:posOffset>
                      </wp:positionH>
                      <wp:positionV relativeFrom="paragraph">
                        <wp:posOffset>67310</wp:posOffset>
                      </wp:positionV>
                      <wp:extent cx="715645"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645" cy="0"/>
                              </a:xfrm>
                              <a:prstGeom prst="line">
                                <a:avLst/>
                              </a:prstGeom>
                              <a:noFill/>
                              <a:ln w="9525">
                                <a:solidFill>
                                  <a:srgbClr val="000000"/>
                                </a:solidFill>
                                <a:round/>
                              </a:ln>
                            </wps:spPr>
                            <wps:bodyPr/>
                          </wps:wsp>
                        </a:graphicData>
                      </a:graphic>
                    </wp:anchor>
                  </w:drawing>
                </mc:Choice>
                <mc:Fallback>
                  <w:pict>
                    <v:line w14:anchorId="06B41F46"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1pt,5.3pt" to="119.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"/>
                  </w:pict>
                </mc:Fallback>
              </mc:AlternateContent>
            </w:r>
          </w:p>
        </w:tc>
        <w:tc>
          <w:tcPr>
            <w:tcW w:w="5580" w:type="dxa"/>
          </w:tcPr>
          <w:p w:rsidR="00D327AC" w:rsidRDefault="00C3636C">
            <w:pPr>
              <w:pStyle w:val="BodyText3"/>
              <w:spacing w:after="0"/>
              <w:ind w:left="-113" w:right="-113"/>
              <w:jc w:val="center"/>
              <w:rPr>
                <w:rFonts w:ascii="Times New Roman" w:hAnsi="Times New Roman" w:cs="Times New Roman"/>
                <w:b/>
                <w:bCs/>
                <w:i/>
                <w:iCs/>
                <w:spacing w:val="-6"/>
                <w:sz w:val="26"/>
                <w:szCs w:val="26"/>
              </w:rPr>
            </w:pPr>
            <w:r>
              <w:rPr>
                <w:rFonts w:ascii="Times New Roman" w:hAnsi="Times New Roman" w:cs="Times New Roman"/>
                <w:b/>
                <w:bCs/>
                <w:iCs/>
                <w:spacing w:val="-6"/>
                <w:sz w:val="26"/>
                <w:szCs w:val="26"/>
              </w:rPr>
              <w:t>CỘNG HÒA XÃ HỘI CHỦ NGHĨA VIỆT NAM</w:t>
            </w:r>
          </w:p>
          <w:p w:rsidR="00D327AC" w:rsidRDefault="00C3636C">
            <w:pPr>
              <w:tabs>
                <w:tab w:val="center" w:pos="7371"/>
              </w:tabs>
              <w:ind w:left="-113" w:right="-113"/>
              <w:jc w:val="center"/>
              <w:rPr>
                <w:rFonts w:ascii="Times New Roman" w:hAnsi="Times New Roman" w:cs="Times New Roman"/>
                <w:sz w:val="28"/>
                <w:szCs w:val="28"/>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617220</wp:posOffset>
                      </wp:positionH>
                      <wp:positionV relativeFrom="paragraph">
                        <wp:posOffset>248285</wp:posOffset>
                      </wp:positionV>
                      <wp:extent cx="216027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ln>
                            </wps:spPr>
                            <wps:bodyPr/>
                          </wps:wsp>
                        </a:graphicData>
                      </a:graphic>
                    </wp:anchor>
                  </w:drawing>
                </mc:Choice>
                <mc:Fallback>
                  <w:pict>
                    <v:line w14:anchorId="18B670EF" id="Straight Connector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6pt,19.55pt" to="218.7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"/>
                  </w:pict>
                </mc:Fallback>
              </mc:AlternateContent>
            </w:r>
            <w:r>
              <w:rPr>
                <w:rFonts w:ascii="Times New Roman" w:hAnsi="Times New Roman" w:cs="Times New Roman"/>
                <w:b/>
                <w:bCs/>
                <w:sz w:val="28"/>
                <w:szCs w:val="28"/>
              </w:rPr>
              <w:t>Độc lập - Tự do - Hạnh phúc</w:t>
            </w:r>
          </w:p>
        </w:tc>
      </w:tr>
      <w:tr w:rsidR="00D327AC">
        <w:trPr>
          <w:jc w:val="center"/>
        </w:trPr>
        <w:tc>
          <w:tcPr>
            <w:tcW w:w="3918" w:type="dxa"/>
          </w:tcPr>
          <w:p w:rsidR="00D327AC" w:rsidRDefault="00C3636C">
            <w:pPr>
              <w:spacing w:before="240" w:after="120"/>
              <w:jc w:val="center"/>
              <w:rPr>
                <w:rFonts w:ascii="Times New Roman" w:hAnsi="Times New Roman" w:cs="Times New Roman"/>
                <w:spacing w:val="-6"/>
                <w:sz w:val="26"/>
                <w:szCs w:val="26"/>
              </w:rPr>
            </w:pPr>
            <w:r>
              <w:rPr>
                <w:rFonts w:ascii="Times New Roman" w:hAnsi="Times New Roman" w:cs="Times New Roman"/>
                <w:sz w:val="26"/>
                <w:szCs w:val="26"/>
              </w:rPr>
              <w:t>Số:           /BC-UBND</w:t>
            </w:r>
          </w:p>
        </w:tc>
        <w:tc>
          <w:tcPr>
            <w:tcW w:w="5580" w:type="dxa"/>
          </w:tcPr>
          <w:p w:rsidR="00D327AC" w:rsidRDefault="00C3636C">
            <w:pPr>
              <w:spacing w:before="240"/>
              <w:ind w:left="-113" w:right="-113"/>
              <w:jc w:val="center"/>
              <w:rPr>
                <w:rFonts w:ascii="Times New Roman" w:hAnsi="Times New Roman" w:cs="Times New Roman"/>
                <w:i/>
                <w:iCs/>
                <w:sz w:val="26"/>
                <w:szCs w:val="26"/>
              </w:rPr>
            </w:pPr>
            <w:r>
              <w:rPr>
                <w:rFonts w:ascii="Times New Roman" w:hAnsi="Times New Roman" w:cs="Times New Roman"/>
                <w:i/>
                <w:iCs/>
                <w:sz w:val="26"/>
                <w:szCs w:val="26"/>
              </w:rPr>
              <w:t>Thành phố Hồ Chí Minh, ngày    tháng    năm 2024</w:t>
            </w:r>
          </w:p>
        </w:tc>
      </w:tr>
    </w:tbl>
    <w:p w:rsidR="00D327AC" w:rsidRDefault="00C3636C">
      <w:pPr>
        <w:tabs>
          <w:tab w:val="right" w:leader="dot" w:pos="7920"/>
        </w:tabs>
        <w:jc w:val="center"/>
        <w:rPr>
          <w:rFonts w:ascii="Times New Roman" w:hAnsi="Times New Roman" w:cs="Times New Roman"/>
          <w:b/>
          <w:sz w:val="28"/>
          <w:szCs w:val="28"/>
        </w:rPr>
      </w:pPr>
      <w:r>
        <w:rPr>
          <w:rFonts w:ascii="Times New Roman" w:hAnsi="Times New Roman" w:cs="Times New Roman"/>
          <w:b/>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377190</wp:posOffset>
                </wp:positionH>
                <wp:positionV relativeFrom="paragraph">
                  <wp:posOffset>99695</wp:posOffset>
                </wp:positionV>
                <wp:extent cx="1057275" cy="3238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057275" cy="323850"/>
                        </a:xfrm>
                        <a:prstGeom prst="rect">
                          <a:avLst/>
                        </a:prstGeom>
                      </wps:spPr>
                      <wps:style>
                        <a:lnRef idx="2">
                          <a:schemeClr val="accent6"/>
                        </a:lnRef>
                        <a:fillRef idx="1">
                          <a:schemeClr val="lt1"/>
                        </a:fillRef>
                        <a:effectRef idx="0">
                          <a:schemeClr val="accent6"/>
                        </a:effectRef>
                        <a:fontRef idx="minor">
                          <a:schemeClr val="dk1"/>
                        </a:fontRef>
                      </wps:style>
                      <wps:txbx>
                        <w:txbxContent>
                          <w:p w:rsidR="00D327AC" w:rsidRDefault="00C3636C">
                            <w:pPr>
                              <w:tabs>
                                <w:tab w:val="right" w:leader="dot" w:pos="7920"/>
                              </w:tabs>
                              <w:jc w:val="center"/>
                              <w:rPr>
                                <w:rFonts w:ascii="Times New Roman" w:hAnsi="Times New Roman" w:cs="Times New Roman"/>
                                <w:sz w:val="28"/>
                                <w:szCs w:val="28"/>
                              </w:rPr>
                            </w:pPr>
                            <w:r>
                              <w:rPr>
                                <w:rFonts w:ascii="Times New Roman" w:hAnsi="Times New Roman" w:cs="Times New Roman"/>
                                <w:sz w:val="28"/>
                                <w:szCs w:val="28"/>
                              </w:rPr>
                              <w:t>DỰ THẢO</w:t>
                            </w:r>
                          </w:p>
                          <w:p w:rsidR="00D327AC" w:rsidRDefault="00D327A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style="position:absolute;left:0;text-align:left;margin-left:29.7pt;margin-top:7.85pt;width:83.25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" fillcolor="white [3201]" strokecolor="#70ad47 [3209]" strokeweight="1pt">
                <v:textbox>
                  <w:txbxContent>
                    <w:p w:rsidR="00D327AC" w:rsidRDefault="00C3636C">
                      <w:pPr>
                        <w:tabs>
                          <w:tab w:val="right" w:leader="dot" w:pos="7920"/>
                        </w:tabs>
                        <w:jc w:val="center"/>
                        <w:rPr>
                          <w:rFonts w:ascii="Times New Roman" w:hAnsi="Times New Roman" w:cs="Times New Roman"/>
                          <w:sz w:val="28"/>
                          <w:szCs w:val="28"/>
                        </w:rPr>
                      </w:pPr>
                      <w:r>
                        <w:rPr>
                          <w:rFonts w:ascii="Times New Roman" w:hAnsi="Times New Roman" w:cs="Times New Roman"/>
                          <w:sz w:val="28"/>
                          <w:szCs w:val="28"/>
                        </w:rPr>
                        <w:t>DỰ THẢO</w:t>
                      </w:r>
                    </w:p>
                    <w:p w:rsidR="00D327AC" w:rsidRDefault="00D327AC">
                      <w:pPr>
                        <w:jc w:val="center"/>
                      </w:pPr>
                    </w:p>
                  </w:txbxContent>
                </v:textbox>
              </v:rect>
            </w:pict>
          </mc:Fallback>
        </mc:AlternateContent>
      </w:r>
    </w:p>
    <w:p w:rsidR="00D327AC" w:rsidRDefault="00D327AC">
      <w:pPr>
        <w:tabs>
          <w:tab w:val="right" w:leader="dot" w:pos="7920"/>
        </w:tabs>
        <w:jc w:val="center"/>
        <w:rPr>
          <w:rFonts w:ascii="Times New Roman" w:hAnsi="Times New Roman" w:cs="Times New Roman"/>
          <w:b/>
          <w:sz w:val="28"/>
          <w:szCs w:val="28"/>
        </w:rPr>
      </w:pPr>
    </w:p>
    <w:p w:rsidR="00D327AC" w:rsidRDefault="00C3636C">
      <w:pPr>
        <w:tabs>
          <w:tab w:val="right" w:leader="dot" w:pos="7920"/>
        </w:tabs>
        <w:jc w:val="center"/>
        <w:rPr>
          <w:rFonts w:ascii="Times New Roman" w:hAnsi="Times New Roman" w:cs="Times New Roman"/>
          <w:b/>
          <w:sz w:val="28"/>
          <w:szCs w:val="28"/>
        </w:rPr>
      </w:pPr>
      <w:r>
        <w:rPr>
          <w:rFonts w:ascii="Times New Roman" w:hAnsi="Times New Roman" w:cs="Times New Roman"/>
          <w:b/>
          <w:sz w:val="28"/>
          <w:szCs w:val="28"/>
        </w:rPr>
        <w:t xml:space="preserve">BÁO CÁO </w:t>
      </w:r>
    </w:p>
    <w:p w:rsidR="00D327AC" w:rsidRDefault="00C3636C">
      <w:pPr>
        <w:jc w:val="center"/>
        <w:rPr>
          <w:rFonts w:ascii="Times New Roman" w:hAnsi="Times New Roman" w:cs="Times New Roman"/>
          <w:b/>
          <w:sz w:val="28"/>
          <w:szCs w:val="28"/>
        </w:rPr>
      </w:pPr>
      <w:r>
        <w:rPr>
          <w:rFonts w:ascii="Times New Roman" w:hAnsi="Times New Roman" w:cs="Times New Roman"/>
          <w:b/>
          <w:sz w:val="28"/>
          <w:szCs w:val="28"/>
        </w:rPr>
        <w:t>ĐÁNH GIÁ TÁC ĐỘNG CỦA CHÍNH SÁCH</w:t>
      </w:r>
    </w:p>
    <w:p w:rsidR="00D327AC" w:rsidRDefault="00C3636C">
      <w:pPr>
        <w:jc w:val="center"/>
        <w:rPr>
          <w:rFonts w:ascii="Times New Roman" w:hAnsi="Times New Roman"/>
          <w:b/>
          <w:bCs/>
          <w:sz w:val="28"/>
          <w:szCs w:val="28"/>
        </w:rPr>
      </w:pPr>
      <w:r>
        <w:rPr>
          <w:rFonts w:ascii="Times New Roman" w:hAnsi="Times New Roman"/>
          <w:b/>
          <w:bCs/>
          <w:sz w:val="28"/>
          <w:szCs w:val="28"/>
        </w:rPr>
        <w:t>Trong đề nghị xây dựng Nghị quyết về chế độ hỗ trợ cho giám định viên tư pháp</w:t>
      </w:r>
      <w:r>
        <w:rPr>
          <w:rFonts w:ascii="Times New Roman" w:hAnsi="Times New Roman"/>
          <w:b/>
          <w:bCs/>
          <w:sz w:val="28"/>
          <w:szCs w:val="28"/>
          <w:lang w:val="en-US"/>
        </w:rPr>
        <w:t>, người giám định tư pháp theo vụ việc</w:t>
      </w:r>
      <w:r>
        <w:rPr>
          <w:rFonts w:ascii="Times New Roman" w:hAnsi="Times New Roman"/>
          <w:b/>
          <w:bCs/>
          <w:sz w:val="28"/>
          <w:szCs w:val="28"/>
        </w:rPr>
        <w:t xml:space="preserve"> và người làm công tác</w:t>
      </w:r>
      <w:r>
        <w:rPr>
          <w:rFonts w:ascii="Times New Roman" w:hAnsi="Times New Roman"/>
          <w:b/>
          <w:bCs/>
          <w:sz w:val="28"/>
          <w:szCs w:val="28"/>
          <w:lang w:val="en-US"/>
        </w:rPr>
        <w:t xml:space="preserve"> </w:t>
      </w:r>
      <w:r>
        <w:rPr>
          <w:rFonts w:ascii="Times New Roman" w:hAnsi="Times New Roman"/>
          <w:b/>
          <w:bCs/>
          <w:sz w:val="28"/>
          <w:szCs w:val="28"/>
        </w:rPr>
        <w:t xml:space="preserve">giám </w:t>
      </w:r>
      <w:r>
        <w:rPr>
          <w:rFonts w:ascii="Times New Roman" w:hAnsi="Times New Roman"/>
          <w:b/>
          <w:bCs/>
          <w:sz w:val="28"/>
          <w:szCs w:val="28"/>
          <w:lang w:val="en-US"/>
        </w:rPr>
        <w:t>đ</w:t>
      </w:r>
      <w:r>
        <w:rPr>
          <w:rFonts w:ascii="Times New Roman" w:hAnsi="Times New Roman"/>
          <w:b/>
          <w:bCs/>
          <w:sz w:val="28"/>
          <w:szCs w:val="28"/>
        </w:rPr>
        <w:t>ịnh tư pháp trên địa bàn Thành phố Hồ Chí Minh</w:t>
      </w:r>
    </w:p>
    <w:p w:rsidR="00D327AC" w:rsidRDefault="00C3636C">
      <w:pPr>
        <w:tabs>
          <w:tab w:val="right" w:leader="dot" w:pos="7920"/>
        </w:tabs>
        <w:jc w:val="center"/>
        <w:rPr>
          <w:rFonts w:ascii="Times New Roman" w:hAnsi="Times New Roman" w:cs="Times New Roman"/>
          <w:b/>
          <w:sz w:val="28"/>
          <w:szCs w:val="28"/>
          <w:vertAlign w:val="superscript"/>
        </w:rPr>
      </w:pPr>
      <w:r>
        <w:rPr>
          <w:rFonts w:ascii="Times New Roman" w:hAnsi="Times New Roman" w:cs="Times New Roman"/>
          <w:b/>
          <w:bCs/>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2101215</wp:posOffset>
                </wp:positionH>
                <wp:positionV relativeFrom="paragraph">
                  <wp:posOffset>89535</wp:posOffset>
                </wp:positionV>
                <wp:extent cx="1562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6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159F12"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5.45pt,7.05pt" to="288.4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9sU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" strokecolor="black [3200]" strokeweight=".5pt">
                <v:stroke joinstyle="miter"/>
              </v:line>
            </w:pict>
          </mc:Fallback>
        </mc:AlternateContent>
      </w:r>
    </w:p>
    <w:p w:rsidR="00D327AC" w:rsidRDefault="00D327AC">
      <w:pPr>
        <w:tabs>
          <w:tab w:val="right" w:leader="dot" w:pos="7920"/>
        </w:tabs>
        <w:jc w:val="center"/>
        <w:rPr>
          <w:rFonts w:ascii="Times New Roman" w:hAnsi="Times New Roman" w:cs="Times New Roman"/>
          <w:b/>
          <w:sz w:val="8"/>
          <w:szCs w:val="28"/>
          <w:vertAlign w:val="superscript"/>
        </w:rPr>
      </w:pPr>
    </w:p>
    <w:p w:rsidR="00D327AC" w:rsidRDefault="00D327AC">
      <w:pPr>
        <w:tabs>
          <w:tab w:val="right" w:leader="dot" w:pos="7920"/>
        </w:tabs>
        <w:spacing w:before="120" w:after="120"/>
        <w:ind w:firstLine="777"/>
        <w:jc w:val="both"/>
        <w:rPr>
          <w:rFonts w:ascii="Times New Roman" w:hAnsi="Times New Roman" w:cs="Times New Roman"/>
          <w:b/>
          <w:sz w:val="28"/>
          <w:szCs w:val="28"/>
        </w:rPr>
      </w:pPr>
    </w:p>
    <w:p w:rsidR="00D327AC" w:rsidRDefault="00C3636C">
      <w:pPr>
        <w:tabs>
          <w:tab w:val="right" w:leader="dot" w:pos="7920"/>
        </w:tabs>
        <w:spacing w:before="120" w:after="120"/>
        <w:ind w:firstLine="777"/>
        <w:jc w:val="both"/>
        <w:rPr>
          <w:rFonts w:ascii="Times New Roman" w:hAnsi="Times New Roman" w:cs="Times New Roman"/>
          <w:b/>
          <w:sz w:val="28"/>
          <w:szCs w:val="28"/>
        </w:rPr>
      </w:pPr>
      <w:r>
        <w:rPr>
          <w:rFonts w:ascii="Times New Roman" w:hAnsi="Times New Roman" w:cs="Times New Roman"/>
          <w:b/>
          <w:sz w:val="28"/>
          <w:szCs w:val="28"/>
        </w:rPr>
        <w:t>I. XÁC ĐỊNH VẤN ĐỀ BẤT CẬP TỔNG QUAN</w:t>
      </w:r>
    </w:p>
    <w:p w:rsidR="00D327AC" w:rsidRDefault="00C3636C">
      <w:pPr>
        <w:tabs>
          <w:tab w:val="right" w:leader="dot" w:pos="7920"/>
        </w:tabs>
        <w:spacing w:before="120" w:after="120"/>
        <w:ind w:firstLine="777"/>
        <w:jc w:val="both"/>
        <w:rPr>
          <w:rFonts w:ascii="Times New Roman" w:hAnsi="Times New Roman" w:cs="Times New Roman"/>
          <w:b/>
          <w:sz w:val="28"/>
          <w:szCs w:val="28"/>
        </w:rPr>
      </w:pPr>
      <w:r>
        <w:rPr>
          <w:rFonts w:ascii="Times New Roman" w:hAnsi="Times New Roman" w:cs="Times New Roman"/>
          <w:b/>
          <w:sz w:val="28"/>
          <w:szCs w:val="28"/>
        </w:rPr>
        <w:t>1. Bối cảnh xây dựng chính sách</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Trên địa bàn Thành phố Hồ Chí Minh hiện có 231 giám định viên tư pháp, trong đó có 72 giám định viên tư pháp làm việc trong 02 tổ chức giám định tư pháp công lập (gồm có 32 giám định viên tư pháp tại Trung tâm Pháp y Thành phố và 40 giám định viên tư pháp tại Phòng Kỹ thuật hình sự - Công an Thành phố) và 159 giám định viên tư pháp công tác kiêm nhiệm tại các Sở ngành chuyên môn trong các lĩnh vực thuế, tài chính, xây dựng, thông tin và truyền thông, tài nguyên và môi trường, văn hóa thể thao và 52 người giám định tư pháp theo vụ việc. Về đội ngũ người giúp việc cho giám định viên tư pháp: </w:t>
      </w:r>
      <w:r w:rsidR="007662E8">
        <w:rPr>
          <w:rFonts w:ascii="Times New Roman" w:hAnsi="Times New Roman" w:cs="Times New Roman"/>
          <w:sz w:val="28"/>
          <w:szCs w:val="28"/>
          <w:lang w:val="en-US"/>
        </w:rPr>
        <w:t>b</w:t>
      </w:r>
      <w:r>
        <w:rPr>
          <w:rFonts w:ascii="Times New Roman" w:hAnsi="Times New Roman" w:cs="Times New Roman"/>
          <w:sz w:val="28"/>
          <w:szCs w:val="28"/>
          <w:lang w:val="en-US"/>
        </w:rPr>
        <w:t xml:space="preserve">ên cạnh đội ngũ giám định viên tư pháp, hiện có 150 người giúp việc trực tiếp cho giám định viên tư pháp </w:t>
      </w:r>
      <w:r w:rsidR="007662E8">
        <w:rPr>
          <w:rFonts w:ascii="Times New Roman" w:hAnsi="Times New Roman" w:cs="Times New Roman"/>
          <w:sz w:val="28"/>
          <w:szCs w:val="28"/>
          <w:lang w:val="en-US"/>
        </w:rPr>
        <w:t>(</w:t>
      </w:r>
      <w:r w:rsidR="007662E8" w:rsidRPr="007662E8">
        <w:rPr>
          <w:rFonts w:ascii="Times New Roman" w:hAnsi="Times New Roman" w:cs="Times New Roman"/>
          <w:sz w:val="28"/>
          <w:szCs w:val="28"/>
          <w:lang w:val="en-US"/>
        </w:rPr>
        <w:t>bao gồm: Trợ lý; kỹ thuật viên; y công; cán bộ kỹ thuật hình sự trong trường hợp tham gia khám nghiệm tử thi, mổ tử thi, khai quật tử thi; những người khác hỗ trợ cho người giám định tư pháp và tham gia trực tiếp vào quá trình thực hiện giám định do thủ trưởng tổ chức được trưng cầu giám định phân công hoặc do người giám định tư pháp chịu trách nhiệm điều phối việc thực hiện giám định chỉ định</w:t>
      </w:r>
      <w:r w:rsidR="007662E8">
        <w:rPr>
          <w:rFonts w:ascii="Times New Roman" w:hAnsi="Times New Roman" w:cs="Times New Roman"/>
          <w:sz w:val="28"/>
          <w:szCs w:val="28"/>
          <w:lang w:val="en-US"/>
        </w:rPr>
        <w:t xml:space="preserve">) </w:t>
      </w:r>
      <w:r>
        <w:rPr>
          <w:rFonts w:ascii="Times New Roman" w:hAnsi="Times New Roman" w:cs="Times New Roman"/>
          <w:sz w:val="28"/>
          <w:szCs w:val="28"/>
          <w:lang w:val="en-US"/>
        </w:rPr>
        <w:t>và 29 người giúp việc gián tiếp cho giám định viên tư pháp</w:t>
      </w:r>
      <w:r w:rsidR="007662E8">
        <w:rPr>
          <w:rFonts w:ascii="Times New Roman" w:hAnsi="Times New Roman" w:cs="Times New Roman"/>
          <w:sz w:val="28"/>
          <w:szCs w:val="28"/>
          <w:lang w:val="en-US"/>
        </w:rPr>
        <w:t xml:space="preserve"> </w:t>
      </w:r>
      <w:r w:rsidR="007662E8" w:rsidRPr="007662E8">
        <w:rPr>
          <w:rFonts w:ascii="Times New Roman" w:hAnsi="Times New Roman" w:cs="Times New Roman"/>
          <w:sz w:val="28"/>
          <w:szCs w:val="28"/>
          <w:lang w:val="en-US"/>
        </w:rPr>
        <w:t>(bao gồ</w:t>
      </w:r>
      <w:r w:rsidR="007662E8">
        <w:rPr>
          <w:rFonts w:ascii="Times New Roman" w:hAnsi="Times New Roman" w:cs="Times New Roman"/>
          <w:sz w:val="28"/>
          <w:szCs w:val="28"/>
          <w:lang w:val="en-US"/>
        </w:rPr>
        <w:t xml:space="preserve">m: </w:t>
      </w:r>
      <w:r w:rsidR="007662E8" w:rsidRPr="007662E8">
        <w:rPr>
          <w:rFonts w:ascii="Times New Roman" w:hAnsi="Times New Roman" w:cs="Times New Roman"/>
          <w:sz w:val="28"/>
          <w:szCs w:val="28"/>
          <w:lang w:val="en-US"/>
        </w:rPr>
        <w:t>kế toán, lái xe, bảo vệ…)</w:t>
      </w:r>
      <w:r>
        <w:rPr>
          <w:rFonts w:ascii="Times New Roman" w:hAnsi="Times New Roman" w:cs="Times New Roman"/>
          <w:sz w:val="28"/>
          <w:szCs w:val="28"/>
          <w:lang w:val="en-US"/>
        </w:rPr>
        <w:t>.</w:t>
      </w:r>
    </w:p>
    <w:p w:rsidR="00D327AC" w:rsidRDefault="00D6369E">
      <w:pPr>
        <w:spacing w:before="120" w:line="288" w:lineRule="auto"/>
        <w:ind w:firstLine="607"/>
        <w:jc w:val="both"/>
        <w:rPr>
          <w:rFonts w:ascii="Times New Roman" w:hAnsi="Times New Roman" w:cs="Times New Roman"/>
          <w:sz w:val="28"/>
          <w:szCs w:val="28"/>
          <w:lang w:val="en-US"/>
        </w:rPr>
      </w:pPr>
      <w:r w:rsidRPr="00D6369E">
        <w:rPr>
          <w:rFonts w:ascii="Times New Roman" w:hAnsi="Times New Roman" w:cs="Times New Roman"/>
          <w:sz w:val="28"/>
          <w:szCs w:val="28"/>
          <w:lang w:val="en-US"/>
        </w:rPr>
        <w:t xml:space="preserve">Về hoạt động giám định tư pháp: </w:t>
      </w:r>
      <w:r>
        <w:rPr>
          <w:rFonts w:ascii="Times New Roman" w:hAnsi="Times New Roman" w:cs="Times New Roman"/>
          <w:sz w:val="28"/>
          <w:szCs w:val="28"/>
          <w:lang w:val="en-US"/>
        </w:rPr>
        <w:t xml:space="preserve">Số lượng vụ việc giám định tư pháp tại Thành phố Hồ Chí Minh trong năm 2019 thực hiện 20.263 vụ việc; năm 2020 thực hiện 19.863 vụ việc, năm 2021 thực hiện 16.195 vụ việc, năm 2022 thực hiện 19.715  vụ việc, năm 2023 thực hiện 21.886 vụ việc. </w:t>
      </w:r>
      <w:r w:rsidR="00C3636C">
        <w:rPr>
          <w:rFonts w:ascii="Times New Roman" w:hAnsi="Times New Roman" w:cs="Times New Roman"/>
          <w:sz w:val="28"/>
          <w:szCs w:val="28"/>
          <w:lang w:val="en-US"/>
        </w:rPr>
        <w:t xml:space="preserve">Trong thời gian qua, hoạt động giám định tư pháp đã có những đóng góp quan trọng đối với hoạt động tố tụng trên địa bàn Thành phố. Những kết luận khách quan, khoa học, chính xác của giám định viên đã giúp cho cơ quan tiến hành tố tụng đưa ra </w:t>
      </w:r>
      <w:r w:rsidR="00C3636C">
        <w:rPr>
          <w:rFonts w:ascii="Times New Roman" w:hAnsi="Times New Roman" w:cs="Times New Roman"/>
          <w:sz w:val="28"/>
          <w:szCs w:val="28"/>
          <w:lang w:val="en-US"/>
        </w:rPr>
        <w:lastRenderedPageBreak/>
        <w:t>những phán quyết đúng người đúng tội, đúng pháp luật, góp phần đáng kể vào quá trình đấu tranh phòng, chống tội phạm hình sự và những hành vi vi phạm pháp luật. Về cơ bản, hoạt động giám định tư pháp đã đáp ứng được nhu cầu của các cơ quan tiến hành tố tụng trên địa bàn Thành phố.</w:t>
      </w:r>
    </w:p>
    <w:p w:rsidR="00D327AC" w:rsidRDefault="00C3636C">
      <w:pPr>
        <w:widowControl/>
        <w:spacing w:before="120" w:after="160" w:line="288" w:lineRule="auto"/>
        <w:ind w:firstLine="60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 Về chế độ hỗ trợ cho giám định viên tư pháp và người làm công tác giám định tư pháp hiện nay: Hội đồng nhân dân Thành phố ban hành Nghị quyết số 31/2011/NQ-HĐND </w:t>
      </w:r>
      <w:r w:rsidR="00D6369E">
        <w:rPr>
          <w:rFonts w:ascii="Times New Roman" w:eastAsia="Times New Roman" w:hAnsi="Times New Roman" w:cs="Times New Roman"/>
          <w:bCs/>
          <w:color w:val="auto"/>
          <w:sz w:val="28"/>
          <w:szCs w:val="28"/>
          <w:lang w:val="en-US" w:eastAsia="en-US"/>
        </w:rPr>
        <w:t xml:space="preserve">ngày 07 tháng 12 năm 2011 </w:t>
      </w:r>
      <w:r>
        <w:rPr>
          <w:rFonts w:ascii="Times New Roman" w:eastAsia="Times New Roman" w:hAnsi="Times New Roman" w:cs="Times New Roman"/>
          <w:bCs/>
          <w:color w:val="auto"/>
          <w:sz w:val="28"/>
          <w:szCs w:val="28"/>
          <w:lang w:val="en-US" w:eastAsia="en-US"/>
        </w:rPr>
        <w:t xml:space="preserve">về chế độ hỗ trợ cho giám định viên tư pháp và người làm công tác giám định trên địa bàn Thành phố. Theo đó, mức hỗ trợ đối với giám định viên tư pháp là 830.000 đồng/người/tháng; đối với người trực tiếp giúp việc cho giám định viên tư pháp là 581.000 đồng/người/tháng; đối với người gián tiếp giúp việc cho giám định viên tư pháp là 415.000 đồng/người/tháng. </w:t>
      </w:r>
    </w:p>
    <w:p w:rsidR="00D327AC" w:rsidRDefault="00C3636C">
      <w:pPr>
        <w:widowControl/>
        <w:spacing w:before="120" w:after="160" w:line="288" w:lineRule="auto"/>
        <w:ind w:firstLine="60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 Mức hỗ trợ này được xây dựng căn cứ theo Nghị định số 22/2011/NĐ-CP ngày 04 tháng 4 năm 2011 của Chính phủ quy định về mức lương tối thiểu chung là 830.000 đồng/người/tháng. </w:t>
      </w:r>
    </w:p>
    <w:p w:rsidR="00D6369E" w:rsidRPr="00423B25" w:rsidRDefault="00D6369E" w:rsidP="00D6369E">
      <w:pPr>
        <w:spacing w:before="120" w:line="288" w:lineRule="auto"/>
        <w:ind w:firstLine="607"/>
        <w:jc w:val="both"/>
        <w:rPr>
          <w:rFonts w:ascii="Times New Roman" w:hAnsi="Times New Roman" w:cs="Times New Roman"/>
          <w:sz w:val="28"/>
          <w:szCs w:val="28"/>
        </w:rPr>
      </w:pPr>
      <w:r w:rsidRPr="00423B25">
        <w:rPr>
          <w:rFonts w:ascii="Times New Roman" w:hAnsi="Times New Roman" w:cs="Times New Roman"/>
          <w:sz w:val="28"/>
          <w:szCs w:val="28"/>
        </w:rPr>
        <w:t>+ Qua rà soát Nghị quyết số 31/2011/NQ-HĐND, Ủy ban nhân dân Thành phố nhận thấy: Nghị quyết chỉ hỗ trợ cho các đối tượng là g</w:t>
      </w:r>
      <w:r w:rsidRPr="00423B25">
        <w:rPr>
          <w:rFonts w:ascii="Times New Roman" w:hAnsi="Times New Roman" w:cs="Times New Roman"/>
          <w:bCs/>
          <w:sz w:val="28"/>
          <w:szCs w:val="28"/>
        </w:rPr>
        <w:t xml:space="preserve">iám định viên tư pháp, người trực tiếp giúp việc cho giám định viên tư pháp, người gián tiếp giúp việc cho giám định viên tư pháp. Riêng đối tượng là người giám định tư pháp theo vụ việc không được chi hỗ trợ. Đây là </w:t>
      </w:r>
      <w:r>
        <w:rPr>
          <w:rFonts w:ascii="Times New Roman" w:hAnsi="Times New Roman" w:cs="Times New Roman"/>
          <w:bCs/>
          <w:sz w:val="28"/>
          <w:szCs w:val="28"/>
          <w:lang w:val="en-US"/>
        </w:rPr>
        <w:t>sự</w:t>
      </w:r>
      <w:r w:rsidRPr="00423B25">
        <w:rPr>
          <w:rFonts w:ascii="Times New Roman" w:hAnsi="Times New Roman" w:cs="Times New Roman"/>
          <w:bCs/>
          <w:sz w:val="28"/>
          <w:szCs w:val="28"/>
        </w:rPr>
        <w:t xml:space="preserve"> bất cập, không công bằng cho đội ngũ người giám định tư pháp theo vụ việc</w:t>
      </w:r>
      <w:r w:rsidRPr="00423B25">
        <w:rPr>
          <w:rFonts w:ascii="Times New Roman" w:hAnsi="Times New Roman" w:cs="Times New Roman"/>
          <w:sz w:val="28"/>
          <w:szCs w:val="28"/>
        </w:rPr>
        <w:t xml:space="preserve"> vì theo quy định của Luật Giám định tư pháp năm 2012, Luật sửa đổi, bổ sung một số điều của Luật giám định tư pháp năm 2020 thì người giám định tư pháp theo vụ việc cũng thực hiện giám định tư pháp theo sự phân công của Cơ quan quản lý khi có trưng cầu của cơ quan trưng cầu giám định. </w:t>
      </w:r>
      <w:r>
        <w:rPr>
          <w:rFonts w:ascii="Times New Roman" w:hAnsi="Times New Roman" w:cs="Times New Roman"/>
          <w:bCs/>
          <w:sz w:val="28"/>
          <w:szCs w:val="28"/>
          <w:lang w:val="en-US"/>
        </w:rPr>
        <w:t>Đồng thời,</w:t>
      </w:r>
      <w:r w:rsidRPr="00423B25">
        <w:rPr>
          <w:rFonts w:ascii="Times New Roman" w:hAnsi="Times New Roman" w:cs="Times New Roman"/>
          <w:bCs/>
          <w:sz w:val="28"/>
          <w:szCs w:val="28"/>
        </w:rPr>
        <w:t xml:space="preserve"> t</w:t>
      </w:r>
      <w:r w:rsidRPr="00423B25">
        <w:rPr>
          <w:rFonts w:ascii="Times New Roman" w:hAnsi="Times New Roman" w:cs="Times New Roman"/>
          <w:sz w:val="28"/>
          <w:szCs w:val="28"/>
        </w:rPr>
        <w:t xml:space="preserve">heo quy định tại </w:t>
      </w:r>
      <w:r w:rsidRPr="00423B25">
        <w:rPr>
          <w:rFonts w:ascii="Times New Roman" w:hAnsi="Times New Roman" w:cs="Times New Roman"/>
          <w:bCs/>
          <w:color w:val="000000" w:themeColor="text1"/>
          <w:sz w:val="28"/>
          <w:szCs w:val="28"/>
        </w:rPr>
        <w:t>Quyết định số 01/2014/QĐ-TTg ngày 01 tháng 01 năm 2014 của Thủ tướng Chính phủ quy định về chế độ bồi dưỡng giám định tư pháp, chế độ bồi dưỡng giám định tư pháp được áp dụng cho g</w:t>
      </w:r>
      <w:r w:rsidRPr="00423B25">
        <w:rPr>
          <w:rFonts w:ascii="Times New Roman" w:hAnsi="Times New Roman" w:cs="Times New Roman"/>
          <w:sz w:val="28"/>
          <w:szCs w:val="28"/>
        </w:rPr>
        <w:t>iám định viên tư pháp, người giám định tư pháp theo vụ việc hưởng lương từ ngân sách nhà nước thực hiện giám định tư pháp, người giúp việc cho người giám định tư pháp hưởng lương từ ngân sách nhà nước.</w:t>
      </w:r>
    </w:p>
    <w:p w:rsidR="00D6369E" w:rsidRPr="00423B25" w:rsidRDefault="00D6369E" w:rsidP="00D6369E">
      <w:pPr>
        <w:spacing w:before="120" w:line="288" w:lineRule="auto"/>
        <w:ind w:firstLine="607"/>
        <w:jc w:val="both"/>
        <w:rPr>
          <w:rFonts w:ascii="Times New Roman" w:hAnsi="Times New Roman" w:cs="Times New Roman"/>
          <w:color w:val="auto"/>
          <w:sz w:val="28"/>
          <w:szCs w:val="28"/>
          <w:lang w:val="en-US"/>
        </w:rPr>
      </w:pPr>
      <w:r w:rsidRPr="00423B25">
        <w:rPr>
          <w:rFonts w:ascii="Times New Roman" w:hAnsi="Times New Roman" w:cs="Times New Roman"/>
          <w:bCs/>
          <w:sz w:val="28"/>
          <w:szCs w:val="28"/>
        </w:rPr>
        <w:t xml:space="preserve">+ </w:t>
      </w:r>
      <w:r>
        <w:rPr>
          <w:rFonts w:ascii="Times New Roman" w:hAnsi="Times New Roman" w:cs="Times New Roman"/>
          <w:bCs/>
          <w:sz w:val="28"/>
          <w:szCs w:val="28"/>
          <w:lang w:val="en-US"/>
        </w:rPr>
        <w:t xml:space="preserve">Về mức hỗ trợ theo </w:t>
      </w:r>
      <w:r w:rsidRPr="00423B25">
        <w:rPr>
          <w:rFonts w:ascii="Times New Roman" w:hAnsi="Times New Roman" w:cs="Times New Roman"/>
          <w:sz w:val="28"/>
          <w:szCs w:val="28"/>
        </w:rPr>
        <w:t>Nghị quyết số 31/2011/NQ-HĐND</w:t>
      </w:r>
      <w:r>
        <w:rPr>
          <w:rFonts w:ascii="Times New Roman" w:hAnsi="Times New Roman" w:cs="Times New Roman"/>
          <w:sz w:val="28"/>
          <w:szCs w:val="28"/>
          <w:lang w:val="en-US"/>
        </w:rPr>
        <w:t>,</w:t>
      </w:r>
      <w:r w:rsidRPr="00423B25">
        <w:rPr>
          <w:rFonts w:ascii="Times New Roman" w:hAnsi="Times New Roman" w:cs="Times New Roman"/>
          <w:bCs/>
          <w:sz w:val="28"/>
          <w:szCs w:val="28"/>
        </w:rPr>
        <w:t xml:space="preserve"> </w:t>
      </w:r>
      <w:r>
        <w:rPr>
          <w:rFonts w:ascii="Times New Roman" w:hAnsi="Times New Roman" w:cs="Times New Roman"/>
          <w:bCs/>
          <w:sz w:val="28"/>
          <w:szCs w:val="28"/>
          <w:lang w:val="en-US"/>
        </w:rPr>
        <w:t>t</w:t>
      </w:r>
      <w:r w:rsidRPr="00423B25">
        <w:rPr>
          <w:rFonts w:ascii="Times New Roman" w:hAnsi="Times New Roman" w:cs="Times New Roman"/>
          <w:bCs/>
          <w:sz w:val="28"/>
          <w:szCs w:val="28"/>
        </w:rPr>
        <w:t xml:space="preserve">rước đây, khi xây dựng mức hỗ trợ cho các đối tượng (cụ thể là mức hỗ trợ đối với giám định viên tư pháp: hỗ trợ 830.000 đồng/người/tháng; đối với người trực tiếp trợ giúp cho giám định viên tư pháp: hỗ trợ 581.000 đồng/người/tháng; đối với người gián tiếp giúp việc cho giám định viên tư pháp: hỗ trợ 415.000đồng/người/tháng) có tham khảo, đối chiếu các chế độ mà các đối tượng được hưởng từ Trung ương và theo chuyên ngành: </w:t>
      </w:r>
    </w:p>
    <w:p w:rsidR="00D6369E" w:rsidRDefault="00D6369E" w:rsidP="00D6369E">
      <w:pPr>
        <w:spacing w:before="120" w:line="288" w:lineRule="auto"/>
        <w:ind w:firstLine="60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lastRenderedPageBreak/>
        <w:t xml:space="preserve">Các giám định viên tư pháp tại Trung tâm Pháp y và Trung tâm Giám định pháp y tâm thần được hưởng chế độ phụ cấp ưu đãi nghề theo Nghị định số 56/2011/NĐ-CP của Chính phủ; hưởng chế độ phụ cấp độc hại, nguy hiểm theo Công văn số 6608/BYT-TCCB của Bộ Y tế; hưởng phụ cấp trách nhiệm giám định tư pháp bằng 0,3 mức lương tối thiểu theo Thông tư 02/2009/TT-BTP của Bộ Tư pháp. Vào thời điểm năm </w:t>
      </w:r>
      <w:r w:rsidR="007662E8">
        <w:rPr>
          <w:rFonts w:ascii="Times New Roman" w:eastAsia="Times New Roman" w:hAnsi="Times New Roman" w:cs="Times New Roman"/>
          <w:bCs/>
          <w:color w:val="auto"/>
          <w:sz w:val="28"/>
          <w:szCs w:val="28"/>
          <w:lang w:val="en-US" w:eastAsia="en-US"/>
        </w:rPr>
        <w:t xml:space="preserve">2011 </w:t>
      </w:r>
      <w:r>
        <w:rPr>
          <w:rFonts w:ascii="Times New Roman" w:eastAsia="Times New Roman" w:hAnsi="Times New Roman" w:cs="Times New Roman"/>
          <w:bCs/>
          <w:color w:val="auto"/>
          <w:sz w:val="28"/>
          <w:szCs w:val="28"/>
          <w:lang w:val="en-US" w:eastAsia="en-US"/>
        </w:rPr>
        <w:t xml:space="preserve">khoảng 500.000 – 900.000 đồng/tháng. </w:t>
      </w:r>
    </w:p>
    <w:p w:rsidR="00D6369E" w:rsidRDefault="00D6369E" w:rsidP="00D6369E">
      <w:pPr>
        <w:spacing w:before="120" w:after="120" w:line="288" w:lineRule="auto"/>
        <w:ind w:firstLine="720"/>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Các giám định viên tư pháp và cán bộ, chiến sĩ công tác tại Phòng Kỹ thuật hình sự - Công an Thành phố được hưởng chế độ đặc thù theo Quyết định 91/2009/QĐ-TTg ngày 06/7/2009 của Thủ tướng Chính phủ với mức hưởng từ 10-15%/tháng; giám định viên tư pháp hưởng phụ cấp trách nhiệm giám định tư pháp  bằng 0,3 mức lương tối thiểu chung theo</w:t>
      </w:r>
      <w:r w:rsidRPr="003E58F1">
        <w:rPr>
          <w:rFonts w:ascii="Times New Roman" w:eastAsia="Times New Roman" w:hAnsi="Times New Roman" w:cs="Times New Roman"/>
          <w:bCs/>
          <w:color w:val="auto"/>
          <w:sz w:val="28"/>
          <w:szCs w:val="28"/>
          <w:lang w:val="en-US" w:eastAsia="en-US"/>
        </w:rPr>
        <w:t xml:space="preserve"> </w:t>
      </w:r>
      <w:r>
        <w:rPr>
          <w:rFonts w:ascii="Times New Roman" w:eastAsia="Times New Roman" w:hAnsi="Times New Roman" w:cs="Times New Roman"/>
          <w:bCs/>
          <w:color w:val="auto"/>
          <w:sz w:val="28"/>
          <w:szCs w:val="28"/>
          <w:lang w:val="en-US" w:eastAsia="en-US"/>
        </w:rPr>
        <w:t xml:space="preserve">Thông tư 02/2009/TT-BTP của Bộ Tư pháp. Vào thời điểm năm </w:t>
      </w:r>
      <w:r w:rsidR="007662E8">
        <w:rPr>
          <w:rFonts w:ascii="Times New Roman" w:eastAsia="Times New Roman" w:hAnsi="Times New Roman" w:cs="Times New Roman"/>
          <w:bCs/>
          <w:color w:val="auto"/>
          <w:sz w:val="28"/>
          <w:szCs w:val="28"/>
          <w:lang w:val="en-US" w:eastAsia="en-US"/>
        </w:rPr>
        <w:t xml:space="preserve">2011 </w:t>
      </w:r>
      <w:r>
        <w:rPr>
          <w:rFonts w:ascii="Times New Roman" w:eastAsia="Times New Roman" w:hAnsi="Times New Roman" w:cs="Times New Roman"/>
          <w:bCs/>
          <w:color w:val="auto"/>
          <w:sz w:val="28"/>
          <w:szCs w:val="28"/>
          <w:lang w:val="en-US" w:eastAsia="en-US"/>
        </w:rPr>
        <w:t xml:space="preserve">theo Phòng Kỹ thuật hình sự Công an Thành phố, mỗi cán bộ, chiến sĩ được hưởng phụ cấp khoảng 400.000 – 700.000 đồng/tháng. </w:t>
      </w:r>
    </w:p>
    <w:p w:rsidR="00D6369E" w:rsidRDefault="00D6369E" w:rsidP="00D6369E">
      <w:pPr>
        <w:spacing w:before="120" w:after="120" w:line="288" w:lineRule="auto"/>
        <w:ind w:firstLine="720"/>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So với mức lương tối thiểu chung tại thời điểm ban hành Nghị quyết số 31/2011/NQ-HĐND là </w:t>
      </w:r>
      <w:r w:rsidRPr="006A3D2F">
        <w:rPr>
          <w:rFonts w:ascii="Times New Roman" w:eastAsia="Times New Roman" w:hAnsi="Times New Roman" w:cs="Times New Roman"/>
          <w:bCs/>
          <w:color w:val="auto"/>
          <w:sz w:val="28"/>
          <w:szCs w:val="28"/>
          <w:lang w:val="en-US" w:eastAsia="en-US"/>
        </w:rPr>
        <w:t xml:space="preserve">là 830.000 đồng/người/tháng </w:t>
      </w:r>
      <w:r>
        <w:rPr>
          <w:rFonts w:ascii="Times New Roman" w:eastAsia="Times New Roman" w:hAnsi="Times New Roman" w:cs="Times New Roman"/>
          <w:bCs/>
          <w:color w:val="auto"/>
          <w:sz w:val="28"/>
          <w:szCs w:val="28"/>
          <w:lang w:val="en-US" w:eastAsia="en-US"/>
        </w:rPr>
        <w:t>(</w:t>
      </w:r>
      <w:r w:rsidRPr="006A3D2F">
        <w:rPr>
          <w:rFonts w:ascii="Times New Roman" w:eastAsia="Times New Roman" w:hAnsi="Times New Roman" w:cs="Times New Roman"/>
          <w:bCs/>
          <w:color w:val="auto"/>
          <w:sz w:val="28"/>
          <w:szCs w:val="28"/>
          <w:lang w:val="en-US" w:eastAsia="en-US"/>
        </w:rPr>
        <w:t>Nghị định số 22/2011/NĐ-CP ngày 04 tháng 4 năm 2011 của Chính phủ quy định về mức lương tối thiểu chung</w:t>
      </w:r>
      <w:r>
        <w:rPr>
          <w:rFonts w:ascii="Times New Roman" w:eastAsia="Times New Roman" w:hAnsi="Times New Roman" w:cs="Times New Roman"/>
          <w:bCs/>
          <w:color w:val="auto"/>
          <w:sz w:val="28"/>
          <w:szCs w:val="28"/>
          <w:lang w:val="en-US" w:eastAsia="en-US"/>
        </w:rPr>
        <w:t>)</w:t>
      </w:r>
      <w:r w:rsidR="007662E8">
        <w:rPr>
          <w:rFonts w:ascii="Times New Roman" w:eastAsia="Times New Roman" w:hAnsi="Times New Roman" w:cs="Times New Roman"/>
          <w:bCs/>
          <w:color w:val="auto"/>
          <w:sz w:val="28"/>
          <w:szCs w:val="28"/>
          <w:lang w:val="en-US" w:eastAsia="en-US"/>
        </w:rPr>
        <w:t>,</w:t>
      </w:r>
      <w:r w:rsidRPr="006A3D2F">
        <w:rPr>
          <w:rFonts w:ascii="Times New Roman" w:eastAsia="Times New Roman" w:hAnsi="Times New Roman" w:cs="Times New Roman"/>
          <w:bCs/>
          <w:color w:val="auto"/>
          <w:sz w:val="28"/>
          <w:szCs w:val="28"/>
          <w:lang w:val="en-US" w:eastAsia="en-US"/>
        </w:rPr>
        <w:t xml:space="preserve"> </w:t>
      </w:r>
      <w:r w:rsidR="007662E8">
        <w:rPr>
          <w:rFonts w:ascii="Times New Roman" w:eastAsia="Times New Roman" w:hAnsi="Times New Roman" w:cs="Times New Roman"/>
          <w:bCs/>
          <w:color w:val="auto"/>
          <w:sz w:val="28"/>
          <w:szCs w:val="28"/>
          <w:lang w:val="en-US" w:eastAsia="en-US"/>
        </w:rPr>
        <w:t>h</w:t>
      </w:r>
      <w:r w:rsidRPr="006A3D2F">
        <w:rPr>
          <w:rFonts w:ascii="Times New Roman" w:eastAsia="Times New Roman" w:hAnsi="Times New Roman" w:cs="Times New Roman"/>
          <w:bCs/>
          <w:color w:val="auto"/>
          <w:sz w:val="28"/>
          <w:szCs w:val="28"/>
          <w:lang w:val="en-US" w:eastAsia="en-US"/>
        </w:rPr>
        <w:t>iện nay, mức lương cơ sở là 2.340.000 đồng/tháng</w:t>
      </w:r>
      <w:r>
        <w:rPr>
          <w:rFonts w:ascii="Times New Roman" w:eastAsia="Times New Roman" w:hAnsi="Times New Roman" w:cs="Times New Roman"/>
          <w:bCs/>
          <w:color w:val="auto"/>
          <w:sz w:val="28"/>
          <w:szCs w:val="28"/>
          <w:lang w:val="en-US" w:eastAsia="en-US"/>
        </w:rPr>
        <w:t xml:space="preserve"> (</w:t>
      </w:r>
      <w:r w:rsidRPr="006A3D2F">
        <w:rPr>
          <w:rFonts w:ascii="Times New Roman" w:eastAsia="Times New Roman" w:hAnsi="Times New Roman" w:cs="Times New Roman"/>
          <w:bCs/>
          <w:color w:val="auto"/>
          <w:sz w:val="28"/>
          <w:szCs w:val="28"/>
          <w:lang w:val="en-US" w:eastAsia="en-US"/>
        </w:rPr>
        <w:t>theo Nghị định số 73/2024/NĐ-CP ngày 30 tháng 6 năm 2024 của Chính phủ quy định mức lương cơ sở và chế độ tiền thưởng đối với cán bộ, công chức, viên chức</w:t>
      </w:r>
      <w:r>
        <w:rPr>
          <w:rFonts w:ascii="Times New Roman" w:eastAsia="Times New Roman" w:hAnsi="Times New Roman" w:cs="Times New Roman"/>
          <w:bCs/>
          <w:color w:val="auto"/>
          <w:sz w:val="28"/>
          <w:szCs w:val="28"/>
          <w:lang w:val="en-US" w:eastAsia="en-US"/>
        </w:rPr>
        <w:t xml:space="preserve"> và lực lượng vũ trang), tăng gần 282%</w:t>
      </w:r>
      <w:r w:rsidRPr="006A3D2F">
        <w:rPr>
          <w:rFonts w:ascii="Times New Roman" w:eastAsia="Times New Roman" w:hAnsi="Times New Roman" w:cs="Times New Roman"/>
          <w:bCs/>
          <w:color w:val="auto"/>
          <w:sz w:val="28"/>
          <w:szCs w:val="28"/>
          <w:lang w:val="en-US" w:eastAsia="en-US"/>
        </w:rPr>
        <w:t>.</w:t>
      </w:r>
      <w:r>
        <w:rPr>
          <w:rFonts w:ascii="Times New Roman" w:eastAsia="Times New Roman" w:hAnsi="Times New Roman" w:cs="Times New Roman"/>
          <w:bCs/>
          <w:color w:val="auto"/>
          <w:sz w:val="28"/>
          <w:szCs w:val="28"/>
          <w:lang w:val="en-US" w:eastAsia="en-US"/>
        </w:rPr>
        <w:t xml:space="preserve"> Do đó, mức hưởng phụ cấp của c</w:t>
      </w:r>
      <w:r w:rsidRPr="006A3D2F">
        <w:rPr>
          <w:rFonts w:ascii="Times New Roman" w:eastAsia="Times New Roman" w:hAnsi="Times New Roman" w:cs="Times New Roman"/>
          <w:bCs/>
          <w:color w:val="auto"/>
          <w:sz w:val="28"/>
          <w:szCs w:val="28"/>
          <w:lang w:val="en-US" w:eastAsia="en-US"/>
        </w:rPr>
        <w:t>ác giám định viên tư pháp</w:t>
      </w:r>
      <w:r>
        <w:rPr>
          <w:rFonts w:ascii="Times New Roman" w:eastAsia="Times New Roman" w:hAnsi="Times New Roman" w:cs="Times New Roman"/>
          <w:bCs/>
          <w:color w:val="auto"/>
          <w:sz w:val="28"/>
          <w:szCs w:val="28"/>
          <w:lang w:val="en-US" w:eastAsia="en-US"/>
        </w:rPr>
        <w:t xml:space="preserve"> của tăng, cụ thể giám định viên tư pháp</w:t>
      </w:r>
      <w:r w:rsidRPr="006A3D2F">
        <w:rPr>
          <w:rFonts w:ascii="Times New Roman" w:eastAsia="Times New Roman" w:hAnsi="Times New Roman" w:cs="Times New Roman"/>
          <w:bCs/>
          <w:color w:val="auto"/>
          <w:sz w:val="28"/>
          <w:szCs w:val="28"/>
          <w:lang w:val="en-US" w:eastAsia="en-US"/>
        </w:rPr>
        <w:t xml:space="preserve"> tại Trung tâm Pháp y và Trung tâm Giám định pháp y tâm thần</w:t>
      </w:r>
      <w:r>
        <w:rPr>
          <w:rFonts w:ascii="Times New Roman" w:eastAsia="Times New Roman" w:hAnsi="Times New Roman" w:cs="Times New Roman"/>
          <w:bCs/>
          <w:color w:val="auto"/>
          <w:sz w:val="28"/>
          <w:szCs w:val="28"/>
          <w:lang w:val="en-US" w:eastAsia="en-US"/>
        </w:rPr>
        <w:t xml:space="preserve"> </w:t>
      </w:r>
      <w:r w:rsidRPr="006A3D2F">
        <w:rPr>
          <w:rFonts w:ascii="Times New Roman" w:eastAsia="Times New Roman" w:hAnsi="Times New Roman" w:cs="Times New Roman"/>
          <w:bCs/>
          <w:color w:val="auto"/>
          <w:sz w:val="28"/>
          <w:szCs w:val="28"/>
          <w:lang w:val="en-US" w:eastAsia="en-US"/>
        </w:rPr>
        <w:t>khoảng 1.500.000 – 2.000.000 đồng/tháng</w:t>
      </w:r>
      <w:r>
        <w:rPr>
          <w:rFonts w:ascii="Times New Roman" w:eastAsia="Times New Roman" w:hAnsi="Times New Roman" w:cs="Times New Roman"/>
          <w:bCs/>
          <w:color w:val="auto"/>
          <w:sz w:val="28"/>
          <w:szCs w:val="28"/>
          <w:lang w:val="en-US" w:eastAsia="en-US"/>
        </w:rPr>
        <w:t>, c</w:t>
      </w:r>
      <w:r w:rsidRPr="006A3D2F">
        <w:rPr>
          <w:rFonts w:ascii="Times New Roman" w:eastAsia="Times New Roman" w:hAnsi="Times New Roman" w:cs="Times New Roman"/>
          <w:bCs/>
          <w:color w:val="auto"/>
          <w:sz w:val="28"/>
          <w:szCs w:val="28"/>
          <w:lang w:val="en-US" w:eastAsia="en-US"/>
        </w:rPr>
        <w:t>ác giám định viên tư pháp và cán bộ, chiến sĩ công tác tại Phòng Kỹ thuật hình sự - Công an Thành phố</w:t>
      </w:r>
      <w:r>
        <w:rPr>
          <w:rFonts w:ascii="Times New Roman" w:eastAsia="Times New Roman" w:hAnsi="Times New Roman" w:cs="Times New Roman"/>
          <w:bCs/>
          <w:color w:val="auto"/>
          <w:sz w:val="28"/>
          <w:szCs w:val="28"/>
          <w:lang w:val="en-US" w:eastAsia="en-US"/>
        </w:rPr>
        <w:t xml:space="preserve"> khoảng 1.200.000 – 1.500.000 đồng/tháng. </w:t>
      </w:r>
    </w:p>
    <w:p w:rsidR="00D6369E" w:rsidRDefault="00D6369E" w:rsidP="00D6369E">
      <w:pPr>
        <w:spacing w:before="120" w:after="120" w:line="288" w:lineRule="auto"/>
        <w:ind w:firstLine="720"/>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Qua tham khảo mức hỗ trợ giám định viên tư pháp, người giám định tư pháp theo vụ việc và người giúp việc cho giám định viên tư pháp tại các địa phương cho thấy:</w:t>
      </w:r>
    </w:p>
    <w:p w:rsidR="00D6369E" w:rsidRPr="008F3A49" w:rsidRDefault="00D6369E" w:rsidP="00D6369E">
      <w:pPr>
        <w:spacing w:before="120" w:after="120" w:line="288" w:lineRule="auto"/>
        <w:ind w:firstLine="720"/>
        <w:jc w:val="both"/>
        <w:rPr>
          <w:rFonts w:ascii="Times New Roman" w:eastAsia="Times New Roman" w:hAnsi="Times New Roman" w:cs="Times New Roman"/>
          <w:bCs/>
          <w:color w:val="auto"/>
          <w:spacing w:val="-4"/>
          <w:sz w:val="28"/>
          <w:szCs w:val="28"/>
          <w:lang w:val="en-US" w:eastAsia="en-US"/>
        </w:rPr>
      </w:pPr>
      <w:r w:rsidRPr="008F3A49">
        <w:rPr>
          <w:rFonts w:ascii="Times New Roman" w:eastAsia="Times New Roman" w:hAnsi="Times New Roman" w:cs="Times New Roman"/>
          <w:bCs/>
          <w:color w:val="auto"/>
          <w:spacing w:val="-4"/>
          <w:sz w:val="28"/>
          <w:szCs w:val="28"/>
          <w:lang w:val="en-US" w:eastAsia="en-US"/>
        </w:rPr>
        <w:t>Thành phố Hà Nội: Giám định viên tư pháp, người giám định tư pháp theo vụ việc: bằng 2 lần mức lương cơ sở/người/tháng; Người giúp việc cho giám định viên tư pháp: bằng 70%  hỗ trợ cho giám định viên tư pháp/người/tháng (Nghị quyết số 07/2022/NQ-HĐND ngày 8 tháng 7 năm 2022 của Hội đồng nhân dân Thành phố Hà Nội về chế độ hỗ trợ cho giám định viên tư pháp và người giúp việc cho giám định viên tư pháp trong lĩnh vực pháp y, kỹ thuật hình sự hưởng lương từ ngân sách nhà nước trên địa bàn Thành phố Hà Nội).</w:t>
      </w:r>
    </w:p>
    <w:p w:rsidR="00D6369E" w:rsidRPr="008F3A49" w:rsidRDefault="00D6369E" w:rsidP="00D6369E">
      <w:pPr>
        <w:spacing w:before="120" w:line="288" w:lineRule="auto"/>
        <w:ind w:firstLine="607"/>
        <w:jc w:val="both"/>
        <w:rPr>
          <w:rFonts w:ascii="Times New Roman" w:hAnsi="Times New Roman" w:cs="Times New Roman"/>
          <w:spacing w:val="-4"/>
          <w:sz w:val="28"/>
          <w:szCs w:val="28"/>
          <w:lang w:val="en-US"/>
        </w:rPr>
      </w:pPr>
      <w:r w:rsidRPr="008F3A49">
        <w:rPr>
          <w:rFonts w:ascii="Times New Roman" w:eastAsia="Times New Roman" w:hAnsi="Times New Roman" w:cs="Times New Roman"/>
          <w:bCs/>
          <w:color w:val="auto"/>
          <w:spacing w:val="-4"/>
          <w:sz w:val="28"/>
          <w:szCs w:val="28"/>
          <w:lang w:val="en-US" w:eastAsia="en-US"/>
        </w:rPr>
        <w:t xml:space="preserve">Tỉnh Bắc Ninh: Giám định viên tư pháp, người giám định tư pháp theo vụ việc: 3.000.000 đồng/người/tháng; Người giúp việc cho giám định viên tư pháp: </w:t>
      </w:r>
      <w:r w:rsidRPr="008F3A49">
        <w:rPr>
          <w:rFonts w:ascii="Times New Roman" w:eastAsia="Times New Roman" w:hAnsi="Times New Roman" w:cs="Times New Roman"/>
          <w:bCs/>
          <w:color w:val="auto"/>
          <w:spacing w:val="-4"/>
          <w:sz w:val="28"/>
          <w:szCs w:val="28"/>
          <w:lang w:val="en-US" w:eastAsia="en-US"/>
        </w:rPr>
        <w:lastRenderedPageBreak/>
        <w:t>2.000.000 đồng/người/tháng (Nghị quyết số 14/2022/NQ-HĐND ngày 09 tháng 12 năm 2022</w:t>
      </w:r>
      <w:r>
        <w:rPr>
          <w:rFonts w:ascii="Times New Roman" w:eastAsia="Times New Roman" w:hAnsi="Times New Roman" w:cs="Times New Roman"/>
          <w:bCs/>
          <w:color w:val="auto"/>
          <w:spacing w:val="-4"/>
          <w:sz w:val="28"/>
          <w:szCs w:val="28"/>
          <w:lang w:val="en-US" w:eastAsia="en-US"/>
        </w:rPr>
        <w:t xml:space="preserve"> </w:t>
      </w:r>
      <w:r w:rsidRPr="008F3A49">
        <w:rPr>
          <w:rFonts w:ascii="Times New Roman" w:eastAsia="Times New Roman" w:hAnsi="Times New Roman" w:cs="Times New Roman"/>
          <w:bCs/>
          <w:color w:val="auto"/>
          <w:spacing w:val="-4"/>
          <w:sz w:val="28"/>
          <w:szCs w:val="28"/>
          <w:lang w:val="en-US" w:eastAsia="en-US"/>
        </w:rPr>
        <w:t xml:space="preserve">của Hội đồng nhân dân tỉnh Bắc Ninh về chế độ hỗ trợ giám định viên tư pháp và người giúp việc cho giám định viên tư pháp trong lĩnh vực kỹ thuật hình sự, pháp y hưởng lương từ ngân sách nhà nước trên địa bàn tỉnh Bắc Ninh). </w:t>
      </w:r>
    </w:p>
    <w:p w:rsidR="00D6369E" w:rsidRDefault="00D6369E" w:rsidP="00D6369E">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Tỉnh Bà Rịa – Vũng Tàu: </w:t>
      </w:r>
      <w:r>
        <w:rPr>
          <w:rFonts w:ascii="Times New Roman" w:eastAsia="Times New Roman" w:hAnsi="Times New Roman" w:cs="Times New Roman"/>
          <w:bCs/>
          <w:color w:val="auto"/>
          <w:sz w:val="28"/>
          <w:szCs w:val="28"/>
          <w:lang w:val="en-US" w:eastAsia="en-US"/>
        </w:rPr>
        <w:t xml:space="preserve">Giám định viên tư pháp, người giám định tư pháp theo vụ việc: 500.000 đồng/người/vụ việc; Người giúp việc cho người giám định tư pháp: 350.000 đồng/người/vụ việc (Nghị quyết số 13/2024/NQ-HĐND ngày 20 tháng 9 năm 2024 của Hội đồng nhân dân tỉnh Bà Rịa – Vũng Tàu về chế độ hỗ trợ cho giám định viên tư pháp, người giám định tư pháp theo vụ việc, người giúp việc cho người giám định tư pháp tham gia hoạt động giám định tư pháp trên địa bàn tỉnh Bà Rịa – Vũng Tàu). </w:t>
      </w:r>
    </w:p>
    <w:p w:rsidR="00D6369E" w:rsidRDefault="00D6369E" w:rsidP="00D6369E">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Mặt khác, hiện nay, các căn cứ ban hành Nghị quyết số 31/2011/NQ-HĐND đã hết hiệu lực (Luật Tổ chức Hội đồng nhân dân và Ủy ban nhân dân ngày 26 tháng 11 năm 2003, Luật Ban hành văn bản quy phạm pháp luật của Hội đồng nhân dân và Ủy ban nhân dân năm 2004, Pháp lệnh số 24/2004/PL-UBTVQH11 ngày 29 tháng 9 năm 2004 của Ủy ban Thường vụ Quốc hội khóa XI về giám định tư pháp và Nghị định số 67/2005/NĐ-CP ngày 19 tháng 8 năm 2005 của Chính phủ quy định chi tiết thi hành một số Điều của Pháp lệnh Giám định tư pháp). Do đó, Mức hỗ trợ theo </w:t>
      </w:r>
      <w:r w:rsidRPr="00030917">
        <w:rPr>
          <w:rFonts w:ascii="Times New Roman" w:hAnsi="Times New Roman" w:cs="Times New Roman"/>
          <w:sz w:val="28"/>
          <w:szCs w:val="28"/>
          <w:lang w:val="en-US"/>
        </w:rPr>
        <w:t>Nghị quyết số 31/2011/NQ-HĐND</w:t>
      </w:r>
      <w:r>
        <w:rPr>
          <w:rFonts w:ascii="Times New Roman" w:hAnsi="Times New Roman" w:cs="Times New Roman"/>
          <w:sz w:val="28"/>
          <w:szCs w:val="28"/>
          <w:lang w:val="en-US"/>
        </w:rPr>
        <w:t xml:space="preserve"> đã được ban hành từ năm 2011, so với thực tế hiện nay không còn phù hợp. Do đó, cần điều chỉnh chế độ hỗ trợ phù hợp với điều kiện thực tế hiện nay.</w:t>
      </w:r>
    </w:p>
    <w:p w:rsidR="00D327AC" w:rsidRDefault="00C3636C">
      <w:pPr>
        <w:widowControl/>
        <w:spacing w:before="120" w:after="160" w:line="288" w:lineRule="auto"/>
        <w:ind w:firstLine="60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Từ những căn cứ pháp lý, thực tiễn nêu trên, việc Ủy ban nhân dân Thành phố trình Hội đồng nhân dân Thành phố ban hành Nghị quyết về chế độ hỗ trợ cho giám định viên tư pháp, người giám định tư pháp theo vụ việc và người làm công tác giám định trên địa bàn Thành phố Hồ Chí Minh (thay thế Nghị quyết số 31/2011/NQ-HĐND ngày 07 tháng 12 năm 2011 của Hội đồng nhân dân Thành phố về chế độ hỗ trợ cho giám định viên tư pháp, và người làm công tác giám định trên địa bàn Thành phố Hồ Chí Minh) là đúng thẩm quyền và thực sự cần thiết, nhằm khuyến khích, động viên các giám định viên tư pháp, người giám định tư pháp theo vụ việc và người làm công tác giám định tư pháp trên địa bàn Thành phố tham gia hoạt động giám định, nâng cao hiệu quả hoạt động giám định tư pháp. </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
          <w:color w:val="auto"/>
          <w:sz w:val="28"/>
          <w:szCs w:val="28"/>
        </w:rPr>
        <w:t>2. Mục tiêu xây dựng chính sách</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color w:val="auto"/>
          <w:sz w:val="28"/>
          <w:szCs w:val="28"/>
        </w:rPr>
        <w:t>Việc xây dựng Nghị quyết về chế độ hỗ trợ cho giám định viên tư pháp</w:t>
      </w:r>
      <w:r>
        <w:rPr>
          <w:rFonts w:ascii="Times New Roman" w:hAnsi="Times New Roman" w:cs="Times New Roman"/>
          <w:color w:val="auto"/>
          <w:sz w:val="28"/>
          <w:szCs w:val="28"/>
          <w:lang w:val="en-US"/>
        </w:rPr>
        <w:t>, người giám định tư pháp theo vụ việc</w:t>
      </w:r>
      <w:r>
        <w:rPr>
          <w:rFonts w:ascii="Times New Roman" w:hAnsi="Times New Roman" w:cs="Times New Roman"/>
          <w:color w:val="auto"/>
          <w:sz w:val="28"/>
          <w:szCs w:val="28"/>
        </w:rPr>
        <w:t xml:space="preserve"> và người làm công tác giám định trên địa bàn Thành phố Hồ Chí Minh </w:t>
      </w:r>
      <w:r>
        <w:rPr>
          <w:rFonts w:ascii="Times New Roman" w:hAnsi="Times New Roman" w:cs="Times New Roman"/>
          <w:color w:val="auto"/>
          <w:sz w:val="28"/>
          <w:szCs w:val="28"/>
          <w:lang w:val="en-US"/>
        </w:rPr>
        <w:t>(</w:t>
      </w:r>
      <w:r>
        <w:rPr>
          <w:rFonts w:ascii="Times New Roman" w:eastAsia="Times New Roman" w:hAnsi="Times New Roman" w:cs="Times New Roman"/>
          <w:bCs/>
          <w:color w:val="auto"/>
          <w:sz w:val="28"/>
          <w:szCs w:val="28"/>
          <w:lang w:val="en-US" w:eastAsia="en-US"/>
        </w:rPr>
        <w:t xml:space="preserve">thay thế Nghị quyết số 31/2011/NQ-HĐND ngày </w:t>
      </w:r>
      <w:r>
        <w:rPr>
          <w:rFonts w:ascii="Times New Roman" w:eastAsia="Times New Roman" w:hAnsi="Times New Roman" w:cs="Times New Roman"/>
          <w:bCs/>
          <w:color w:val="auto"/>
          <w:sz w:val="28"/>
          <w:szCs w:val="28"/>
          <w:lang w:val="en-US" w:eastAsia="en-US"/>
        </w:rPr>
        <w:lastRenderedPageBreak/>
        <w:t xml:space="preserve">07 tháng 12 năm 2011 của Hội đồng nhân dân Thành phố về chế độ hỗ trợ cho giám định viên tư pháp và người làm công tác giám định trên địa bàn Thành phố Hồ Chí Minh) </w:t>
      </w:r>
      <w:r>
        <w:rPr>
          <w:rFonts w:ascii="Times New Roman" w:hAnsi="Times New Roman" w:cs="Times New Roman"/>
          <w:color w:val="auto"/>
          <w:sz w:val="28"/>
          <w:szCs w:val="28"/>
        </w:rPr>
        <w:t>nhằm bảo đảm chế độ hỗ trợ cho giám định viên tư pháp</w:t>
      </w:r>
      <w:r>
        <w:rPr>
          <w:rFonts w:ascii="Times New Roman" w:hAnsi="Times New Roman" w:cs="Times New Roman"/>
          <w:color w:val="auto"/>
          <w:sz w:val="28"/>
          <w:szCs w:val="28"/>
          <w:lang w:val="en-US"/>
        </w:rPr>
        <w:t>, người giám định tư pháp theo vụ việc</w:t>
      </w:r>
      <w:r>
        <w:rPr>
          <w:rFonts w:ascii="Times New Roman" w:hAnsi="Times New Roman" w:cs="Times New Roman"/>
          <w:color w:val="auto"/>
          <w:sz w:val="28"/>
          <w:szCs w:val="28"/>
        </w:rPr>
        <w:t xml:space="preserve"> và người làm công tác giám định tư pháp phù hợp với tình hình thực tế, đảm bảo theo quy định của Luật Giám định tư pháp năm 2012, Luật sửa đổi, bổ sung một số điều của Luật Giám định tư pháp năm 2020; Nghị định số 85/2013/NĐ-CP ngày 29</w:t>
      </w:r>
      <w:r>
        <w:rPr>
          <w:rFonts w:ascii="Times New Roman" w:hAnsi="Times New Roman" w:cs="Times New Roman"/>
          <w:color w:val="auto"/>
          <w:sz w:val="28"/>
          <w:szCs w:val="28"/>
          <w:lang w:val="en-US"/>
        </w:rPr>
        <w:t xml:space="preserve"> tháng </w:t>
      </w:r>
      <w:r>
        <w:rPr>
          <w:rFonts w:ascii="Times New Roman" w:hAnsi="Times New Roman" w:cs="Times New Roman"/>
          <w:color w:val="auto"/>
          <w:sz w:val="28"/>
          <w:szCs w:val="28"/>
        </w:rPr>
        <w:t>7</w:t>
      </w:r>
      <w:r>
        <w:rPr>
          <w:rFonts w:ascii="Times New Roman" w:hAnsi="Times New Roman" w:cs="Times New Roman"/>
          <w:color w:val="auto"/>
          <w:sz w:val="28"/>
          <w:szCs w:val="28"/>
          <w:lang w:val="en-US"/>
        </w:rPr>
        <w:t xml:space="preserve"> năm </w:t>
      </w:r>
      <w:r>
        <w:rPr>
          <w:rFonts w:ascii="Times New Roman" w:hAnsi="Times New Roman" w:cs="Times New Roman"/>
          <w:color w:val="auto"/>
          <w:sz w:val="28"/>
          <w:szCs w:val="28"/>
        </w:rPr>
        <w:t>2013 của Chính phủ quy định chi tiết và biện pháp thi hành Luật Giám định tư pháp; Nghị định số 157/2020/NĐ-CP ngày 31</w:t>
      </w:r>
      <w:r>
        <w:rPr>
          <w:rFonts w:ascii="Times New Roman" w:hAnsi="Times New Roman" w:cs="Times New Roman"/>
          <w:color w:val="auto"/>
          <w:sz w:val="28"/>
          <w:szCs w:val="28"/>
          <w:lang w:val="en-US"/>
        </w:rPr>
        <w:t xml:space="preserve"> tháng </w:t>
      </w:r>
      <w:r>
        <w:rPr>
          <w:rFonts w:ascii="Times New Roman" w:hAnsi="Times New Roman" w:cs="Times New Roman"/>
          <w:color w:val="auto"/>
          <w:sz w:val="28"/>
          <w:szCs w:val="28"/>
        </w:rPr>
        <w:t>12</w:t>
      </w:r>
      <w:r>
        <w:rPr>
          <w:rFonts w:ascii="Times New Roman" w:hAnsi="Times New Roman" w:cs="Times New Roman"/>
          <w:color w:val="auto"/>
          <w:sz w:val="28"/>
          <w:szCs w:val="28"/>
          <w:lang w:val="en-US"/>
        </w:rPr>
        <w:t xml:space="preserve"> năm </w:t>
      </w:r>
      <w:r>
        <w:rPr>
          <w:rFonts w:ascii="Times New Roman" w:hAnsi="Times New Roman" w:cs="Times New Roman"/>
          <w:color w:val="auto"/>
          <w:sz w:val="28"/>
          <w:szCs w:val="28"/>
        </w:rPr>
        <w:t>2020 của Chính phủ sửa đổi, bổ sung một số điều của Nghị định số 85/2013/NĐ-CP ngày 29</w:t>
      </w:r>
      <w:r>
        <w:rPr>
          <w:rFonts w:ascii="Times New Roman" w:hAnsi="Times New Roman" w:cs="Times New Roman"/>
          <w:color w:val="auto"/>
          <w:sz w:val="28"/>
          <w:szCs w:val="28"/>
          <w:lang w:val="en-US"/>
        </w:rPr>
        <w:t xml:space="preserve"> tháng </w:t>
      </w:r>
      <w:r>
        <w:rPr>
          <w:rFonts w:ascii="Times New Roman" w:hAnsi="Times New Roman" w:cs="Times New Roman"/>
          <w:color w:val="auto"/>
          <w:sz w:val="28"/>
          <w:szCs w:val="28"/>
        </w:rPr>
        <w:t>7</w:t>
      </w:r>
      <w:r>
        <w:rPr>
          <w:rFonts w:ascii="Times New Roman" w:hAnsi="Times New Roman" w:cs="Times New Roman"/>
          <w:color w:val="auto"/>
          <w:sz w:val="28"/>
          <w:szCs w:val="28"/>
          <w:lang w:val="en-US"/>
        </w:rPr>
        <w:t xml:space="preserve"> năm </w:t>
      </w:r>
      <w:r>
        <w:rPr>
          <w:rFonts w:ascii="Times New Roman" w:hAnsi="Times New Roman" w:cs="Times New Roman"/>
          <w:color w:val="auto"/>
          <w:sz w:val="28"/>
          <w:szCs w:val="28"/>
        </w:rPr>
        <w:t>2013 của Chính phủ quy định chi tiết và biện pháp thi hành Luật Giám định tư pháp</w:t>
      </w:r>
      <w:r>
        <w:rPr>
          <w:rFonts w:ascii="Times New Roman" w:hAnsi="Times New Roman" w:cs="Times New Roman"/>
          <w:color w:val="auto"/>
          <w:sz w:val="28"/>
          <w:szCs w:val="28"/>
          <w:lang w:val="en-US"/>
        </w:rPr>
        <w:t xml:space="preserve">; </w:t>
      </w:r>
      <w:r>
        <w:rPr>
          <w:rFonts w:ascii="Times New Roman" w:hAnsi="Times New Roman" w:cs="Times New Roman"/>
          <w:bCs/>
          <w:color w:val="000000" w:themeColor="text1"/>
          <w:sz w:val="28"/>
          <w:szCs w:val="28"/>
          <w:lang w:val="en-US"/>
        </w:rPr>
        <w:t xml:space="preserve">Nghị định số 84/2024/NĐ-CP ngày 10 tháng 7 năm 2024 của Chính phủ về thí điểm phân cấp quản lý nhà nước trong một số lĩnh vực cho chính quyền Thành phố Hồ Chí Minh; </w:t>
      </w:r>
      <w:r>
        <w:rPr>
          <w:rFonts w:ascii="Times New Roman" w:hAnsi="Times New Roman" w:cs="Times New Roman"/>
          <w:bCs/>
          <w:sz w:val="28"/>
          <w:szCs w:val="28"/>
          <w:lang w:val="en-US"/>
        </w:rPr>
        <w:t>Quyết định số 01/2014/QĐ-TTg ngày 01 tháng 01 năm 2014 của Thủ tướng Chính phủ quy định về chế độ bồi dưỡng giám định tư pháp</w:t>
      </w:r>
      <w:r>
        <w:rPr>
          <w:rFonts w:ascii="Times New Roman" w:hAnsi="Times New Roman" w:cs="Times New Roman"/>
          <w:color w:val="auto"/>
          <w:sz w:val="28"/>
          <w:szCs w:val="28"/>
        </w:rPr>
        <w:t>.</w:t>
      </w:r>
    </w:p>
    <w:p w:rsidR="00D327AC" w:rsidRDefault="00C3636C">
      <w:pPr>
        <w:spacing w:before="120" w:line="288" w:lineRule="auto"/>
        <w:ind w:firstLine="607"/>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rPr>
        <w:t>II. ĐÁNH GIÁ TÁC ĐỘNG CỦA CHÍNH SÁCH</w:t>
      </w:r>
    </w:p>
    <w:p w:rsidR="007F4849" w:rsidRPr="007F4849" w:rsidRDefault="007F4849" w:rsidP="007F4849">
      <w:pPr>
        <w:pStyle w:val="ListParagraph"/>
        <w:numPr>
          <w:ilvl w:val="0"/>
          <w:numId w:val="1"/>
        </w:numPr>
        <w:spacing w:before="120" w:line="288" w:lineRule="auto"/>
        <w:jc w:val="both"/>
        <w:rPr>
          <w:rFonts w:ascii="Times New Roman" w:hAnsi="Times New Roman" w:cs="Times New Roman"/>
          <w:b/>
          <w:color w:val="auto"/>
          <w:sz w:val="28"/>
          <w:szCs w:val="28"/>
          <w:lang w:val="en-US"/>
        </w:rPr>
      </w:pPr>
      <w:r w:rsidRPr="007F4849">
        <w:rPr>
          <w:rFonts w:ascii="Times New Roman" w:hAnsi="Times New Roman" w:cs="Times New Roman"/>
          <w:b/>
          <w:color w:val="auto"/>
          <w:sz w:val="28"/>
          <w:szCs w:val="28"/>
          <w:lang w:val="en-US"/>
        </w:rPr>
        <w:t>Việc lấy ý kiến của các đối tượng chịu sự tác động của chính sách</w:t>
      </w:r>
    </w:p>
    <w:p w:rsidR="007F4849" w:rsidRPr="007F4849" w:rsidRDefault="007F4849" w:rsidP="007F4849">
      <w:pPr>
        <w:spacing w:before="120" w:line="288" w:lineRule="auto"/>
        <w:ind w:firstLine="607"/>
        <w:jc w:val="both"/>
        <w:rPr>
          <w:rFonts w:ascii="Times New Roman" w:hAnsi="Times New Roman" w:cs="Times New Roman"/>
          <w:color w:val="auto"/>
          <w:sz w:val="28"/>
          <w:szCs w:val="28"/>
        </w:rPr>
      </w:pPr>
      <w:r w:rsidRPr="007F4849">
        <w:rPr>
          <w:rFonts w:ascii="Times New Roman" w:hAnsi="Times New Roman" w:cs="Times New Roman"/>
          <w:color w:val="auto"/>
          <w:sz w:val="28"/>
          <w:szCs w:val="28"/>
        </w:rPr>
        <w:t>Về việc tổ chức lấy ý kiến đối với dự thảo</w:t>
      </w:r>
      <w:r>
        <w:rPr>
          <w:rFonts w:ascii="Times New Roman" w:hAnsi="Times New Roman" w:cs="Times New Roman"/>
          <w:color w:val="auto"/>
          <w:sz w:val="28"/>
          <w:szCs w:val="28"/>
          <w:lang w:val="en-US"/>
        </w:rPr>
        <w:t xml:space="preserve">: </w:t>
      </w:r>
      <w:r w:rsidRPr="007F4849">
        <w:rPr>
          <w:rFonts w:ascii="Times New Roman" w:hAnsi="Times New Roman" w:cs="Times New Roman"/>
          <w:color w:val="auto"/>
          <w:sz w:val="28"/>
          <w:szCs w:val="28"/>
        </w:rPr>
        <w:t>Sở Tư pháp đã có Công văn số 5734/STP-BTTP ngày 06 tháng 9 năm 2024 đề nghị Ủy ban Mặt trận Tổ quốc Việt Nam Thành phố, các Sở, ban, ngành Thành phố, Công an Thành phố, Cục Thuế Thành phố có ý kiến góp ý đối với việc xây dựng dự thảo hồ sơ đề nghị xây dựng Nghị quyết thay thế Nghị quyết số 31/2011/NQ-HĐND ngày 07 tháng 12 năm 2011 của Hội đồng nhân dân Thành phố về chế độ hỗ trợ cho giám định viên tư pháp và người làm công tác giám định trên địa bàn Thành phố Hồ Chí Minh.</w:t>
      </w:r>
    </w:p>
    <w:p w:rsidR="007F4849" w:rsidRPr="007F4849" w:rsidRDefault="007F4849" w:rsidP="007F4849">
      <w:pPr>
        <w:spacing w:before="120" w:line="288" w:lineRule="auto"/>
        <w:ind w:firstLine="607"/>
        <w:jc w:val="both"/>
        <w:rPr>
          <w:rFonts w:ascii="Times New Roman" w:hAnsi="Times New Roman" w:cs="Times New Roman"/>
          <w:color w:val="auto"/>
          <w:sz w:val="28"/>
          <w:szCs w:val="28"/>
        </w:rPr>
      </w:pPr>
      <w:r w:rsidRPr="007F4849">
        <w:rPr>
          <w:rFonts w:ascii="Times New Roman" w:hAnsi="Times New Roman" w:cs="Times New Roman"/>
          <w:color w:val="auto"/>
          <w:sz w:val="28"/>
          <w:szCs w:val="28"/>
        </w:rPr>
        <w:t>Đồng thời, dự thảo hồ sơ đề nghị xây dựng Nghị quyết thay thế Nghị quyết số 31/2011/NQ-HĐND ngày 07 tháng 12 năm 2011 của Hội đồng nhân dân Thành phố về chế độ hỗ trợ cho giám định viên tư pháp và người làm công tác giám định trên địa bàn Thành phố Hồ Chí Minh cũng đã được đăng tải trên Trang thông tin điện tử của Thành phố từ ngày 09 tháng 9 năm 2024 đến ngày 09 tháng 10 năm 2024 để lấy ý kiến góp ý của các cá nhân, tổ chức. Hết thời hạn góp ý, Sở Tư pháp đã nhận được văn bản góp ý của 14 cơ quan, tổ chức có liên quan.</w:t>
      </w:r>
    </w:p>
    <w:p w:rsidR="007F4849" w:rsidRPr="007F4849" w:rsidRDefault="007F4849" w:rsidP="007F4849">
      <w:pPr>
        <w:spacing w:before="120" w:line="288" w:lineRule="auto"/>
        <w:ind w:firstLine="607"/>
        <w:jc w:val="both"/>
        <w:rPr>
          <w:rFonts w:ascii="Times New Roman" w:hAnsi="Times New Roman" w:cs="Times New Roman"/>
          <w:color w:val="auto"/>
          <w:sz w:val="28"/>
          <w:szCs w:val="28"/>
        </w:rPr>
      </w:pPr>
      <w:r w:rsidRPr="007F4849">
        <w:rPr>
          <w:rFonts w:ascii="Times New Roman" w:hAnsi="Times New Roman" w:cs="Times New Roman"/>
          <w:color w:val="auto"/>
          <w:sz w:val="28"/>
          <w:szCs w:val="28"/>
        </w:rPr>
        <w:t xml:space="preserve">Đối với các ý kiến góp ý, Sở Tư pháp đã nghiên cứu, tiếp thu và điều chỉnh trong nội dung của dự thảo hồ sơ đề nghị xây dựng Nghị quyết thay thế Nghị quyết số 31/2011/NQ-HĐND ngày 07 tháng 12 năm 2011 của Hội đồng nhân dân Thành phố về chế độ hỗ trợ cho giám định viên tư pháp và người làm công </w:t>
      </w:r>
      <w:r w:rsidRPr="007F4849">
        <w:rPr>
          <w:rFonts w:ascii="Times New Roman" w:hAnsi="Times New Roman" w:cs="Times New Roman"/>
          <w:color w:val="auto"/>
          <w:sz w:val="28"/>
          <w:szCs w:val="28"/>
        </w:rPr>
        <w:lastRenderedPageBreak/>
        <w:t>tác giám định trên địa bàn Thành phố Hồ Chí Minh. Bên cạnh đó, có một số ý kiến, Sở Tư pháp đề nghị giữ nguyên như dự thảo và có giải trình cụ thể tại Bảng tổng hợp ý kiến góp ý của các cơ quan, tổ chức đối với dự thảo.</w:t>
      </w:r>
    </w:p>
    <w:p w:rsidR="007F4849" w:rsidRPr="007F4849" w:rsidRDefault="007F4849" w:rsidP="007F4849">
      <w:pPr>
        <w:spacing w:before="120" w:line="288" w:lineRule="auto"/>
        <w:ind w:firstLine="607"/>
        <w:jc w:val="both"/>
        <w:rPr>
          <w:rFonts w:ascii="Times New Roman" w:hAnsi="Times New Roman" w:cs="Times New Roman"/>
          <w:color w:val="auto"/>
          <w:sz w:val="28"/>
          <w:szCs w:val="28"/>
        </w:rPr>
      </w:pPr>
      <w:r w:rsidRPr="007F4849">
        <w:rPr>
          <w:rFonts w:ascii="Times New Roman" w:hAnsi="Times New Roman" w:cs="Times New Roman"/>
          <w:color w:val="auto"/>
          <w:sz w:val="28"/>
          <w:szCs w:val="28"/>
        </w:rPr>
        <w:t xml:space="preserve">Ngày 02 tháng 10 năm 2024, Giám đốc Sở Tư pháp ban hành Quyết định số 728/QĐ-STP-BTTP về việc Thành lập Hội đồng tư vấn thẩm định Nghị quyết thay thế Nghị quyết số 31/2011/NQ-HĐND ngày 07 tháng 12 năm 2011 của Hội đồng nhân dân Thành phố về chế độ hỗ trợ cho giám định viên tư pháp và người làm công tác giám định trên địa bàn Thành phố Hồ Chí Minh. </w:t>
      </w:r>
    </w:p>
    <w:p w:rsidR="007F4849" w:rsidRPr="007F4849" w:rsidRDefault="007F4849" w:rsidP="007F4849">
      <w:pPr>
        <w:spacing w:before="120" w:line="288" w:lineRule="auto"/>
        <w:ind w:firstLine="607"/>
        <w:jc w:val="both"/>
        <w:rPr>
          <w:rFonts w:ascii="Times New Roman" w:hAnsi="Times New Roman" w:cs="Times New Roman"/>
          <w:color w:val="auto"/>
          <w:sz w:val="28"/>
          <w:szCs w:val="28"/>
        </w:rPr>
      </w:pPr>
      <w:r w:rsidRPr="007F4849">
        <w:rPr>
          <w:rFonts w:ascii="Times New Roman" w:hAnsi="Times New Roman" w:cs="Times New Roman"/>
          <w:color w:val="auto"/>
          <w:sz w:val="28"/>
          <w:szCs w:val="28"/>
        </w:rPr>
        <w:t xml:space="preserve">Ngày 16 tháng 10 năm 2024, Hội đồng tư vấn thẩm định họp và có một số ý kiến góp ý hoàn thiện nội dung dự thảo (có Biên bản cuộc họp kèm theo). </w:t>
      </w:r>
      <w:r w:rsidR="007662E8">
        <w:rPr>
          <w:rFonts w:ascii="Times New Roman" w:hAnsi="Times New Roman" w:cs="Times New Roman"/>
          <w:color w:val="auto"/>
          <w:sz w:val="28"/>
          <w:szCs w:val="28"/>
          <w:lang w:val="en-US"/>
        </w:rPr>
        <w:t xml:space="preserve">Đồng thời, </w:t>
      </w:r>
      <w:r w:rsidRPr="007F4849">
        <w:rPr>
          <w:rFonts w:ascii="Times New Roman" w:hAnsi="Times New Roman" w:cs="Times New Roman"/>
          <w:color w:val="auto"/>
          <w:sz w:val="28"/>
          <w:szCs w:val="28"/>
        </w:rPr>
        <w:t xml:space="preserve">để đảm bảo tính chặt chẽ trong công tác tham mưu, Sở Tư pháp có văn bản số 7034/STP-BTTP ngày 24 tháng 10  năm 2024 xin ý kiến của Sở Nội vụ về xây dựng Nghị quyết thay thế Nghị quyết số 31/2011/NQ-HĐND ngày 07/12/2011 của Hội đồng nhân dân Thành phố về chế độ hỗ trợ cho giám định viên tư pháp và người làm công tác giám định tư pháp trên địa bàn Thành phố Hồ Chí Minh. </w:t>
      </w:r>
    </w:p>
    <w:p w:rsidR="007F4849" w:rsidRPr="007F4849" w:rsidRDefault="007F4849" w:rsidP="007F4849">
      <w:pPr>
        <w:spacing w:before="120" w:line="288" w:lineRule="auto"/>
        <w:ind w:firstLine="607"/>
        <w:jc w:val="both"/>
        <w:rPr>
          <w:rFonts w:ascii="Times New Roman" w:hAnsi="Times New Roman" w:cs="Times New Roman"/>
          <w:sz w:val="28"/>
          <w:szCs w:val="28"/>
          <w:lang w:val="en-US"/>
        </w:rPr>
      </w:pPr>
      <w:r w:rsidRPr="007F4849">
        <w:rPr>
          <w:rFonts w:ascii="Times New Roman" w:hAnsi="Times New Roman" w:cs="Times New Roman"/>
          <w:color w:val="auto"/>
          <w:sz w:val="28"/>
          <w:szCs w:val="28"/>
        </w:rPr>
        <w:t>Trên cơ sở các ý kiến góp ý</w:t>
      </w:r>
      <w:r w:rsidR="007662E8">
        <w:rPr>
          <w:rFonts w:ascii="Times New Roman" w:hAnsi="Times New Roman" w:cs="Times New Roman"/>
          <w:color w:val="auto"/>
          <w:sz w:val="28"/>
          <w:szCs w:val="28"/>
          <w:lang w:val="en-US"/>
        </w:rPr>
        <w:t xml:space="preserve"> của các cơ quan</w:t>
      </w:r>
      <w:r w:rsidRPr="007F4849">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 xml:space="preserve">ngày 30 tháng 10 năm 2024, </w:t>
      </w:r>
      <w:r w:rsidRPr="007F4849">
        <w:rPr>
          <w:rFonts w:ascii="Times New Roman" w:hAnsi="Times New Roman" w:cs="Times New Roman"/>
          <w:color w:val="auto"/>
          <w:sz w:val="28"/>
          <w:szCs w:val="28"/>
        </w:rPr>
        <w:t xml:space="preserve">Sở Tư pháp đã hoàn thiện dự thảo </w:t>
      </w:r>
      <w:r w:rsidR="007662E8">
        <w:rPr>
          <w:rFonts w:ascii="Times New Roman" w:hAnsi="Times New Roman" w:cs="Times New Roman"/>
          <w:color w:val="auto"/>
          <w:sz w:val="28"/>
          <w:szCs w:val="28"/>
          <w:lang w:val="en-US"/>
        </w:rPr>
        <w:t xml:space="preserve">hồ sơ </w:t>
      </w:r>
      <w:r w:rsidRPr="007F4849">
        <w:rPr>
          <w:rFonts w:ascii="Times New Roman" w:hAnsi="Times New Roman" w:cs="Times New Roman"/>
          <w:color w:val="auto"/>
          <w:sz w:val="28"/>
          <w:szCs w:val="28"/>
        </w:rPr>
        <w:t xml:space="preserve">trình Ủy ban nhân dân Thành phố.  </w:t>
      </w:r>
    </w:p>
    <w:p w:rsidR="00D327AC" w:rsidRDefault="007F4849">
      <w:pPr>
        <w:spacing w:before="120" w:line="288" w:lineRule="auto"/>
        <w:ind w:firstLine="607"/>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2</w:t>
      </w:r>
      <w:r w:rsidR="00C3636C">
        <w:rPr>
          <w:rFonts w:ascii="Times New Roman" w:hAnsi="Times New Roman" w:cs="Times New Roman"/>
          <w:b/>
          <w:color w:val="auto"/>
          <w:sz w:val="28"/>
          <w:szCs w:val="28"/>
          <w:lang w:val="en-US"/>
        </w:rPr>
        <w:t>. Xác định vấn đề và mục tiêu giải quyết vấn đề</w:t>
      </w:r>
    </w:p>
    <w:p w:rsidR="00D327AC" w:rsidRDefault="007F4849">
      <w:pPr>
        <w:spacing w:before="120" w:line="288" w:lineRule="auto"/>
        <w:ind w:firstLine="607"/>
        <w:jc w:val="both"/>
        <w:rPr>
          <w:rFonts w:ascii="Times New Roman" w:hAnsi="Times New Roman" w:cs="Times New Roman"/>
          <w:b/>
          <w:i/>
          <w:color w:val="auto"/>
          <w:sz w:val="28"/>
          <w:szCs w:val="28"/>
          <w:lang w:val="en-US"/>
        </w:rPr>
      </w:pPr>
      <w:r>
        <w:rPr>
          <w:rFonts w:ascii="Times New Roman" w:hAnsi="Times New Roman" w:cs="Times New Roman"/>
          <w:b/>
          <w:i/>
          <w:color w:val="auto"/>
          <w:sz w:val="28"/>
          <w:szCs w:val="28"/>
          <w:lang w:val="en-US"/>
        </w:rPr>
        <w:t>2</w:t>
      </w:r>
      <w:r w:rsidR="00C3636C">
        <w:rPr>
          <w:rFonts w:ascii="Times New Roman" w:hAnsi="Times New Roman" w:cs="Times New Roman"/>
          <w:b/>
          <w:i/>
          <w:color w:val="auto"/>
          <w:sz w:val="28"/>
          <w:szCs w:val="28"/>
          <w:lang w:val="en-US"/>
        </w:rPr>
        <w:t>.1. Xác định vấn đề</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color w:val="auto"/>
          <w:sz w:val="28"/>
          <w:szCs w:val="28"/>
        </w:rPr>
        <w:t xml:space="preserve">Từ </w:t>
      </w:r>
      <w:r>
        <w:rPr>
          <w:rFonts w:ascii="Times New Roman" w:hAnsi="Times New Roman" w:cs="Times New Roman"/>
          <w:color w:val="auto"/>
          <w:sz w:val="28"/>
          <w:szCs w:val="28"/>
          <w:lang w:val="en-US"/>
        </w:rPr>
        <w:t xml:space="preserve">ngày 01 tháng 01 năm </w:t>
      </w:r>
      <w:r>
        <w:rPr>
          <w:rFonts w:ascii="Times New Roman" w:hAnsi="Times New Roman" w:cs="Times New Roman"/>
          <w:color w:val="auto"/>
          <w:sz w:val="28"/>
          <w:szCs w:val="28"/>
        </w:rPr>
        <w:t>201</w:t>
      </w:r>
      <w:r>
        <w:rPr>
          <w:rFonts w:ascii="Times New Roman" w:hAnsi="Times New Roman" w:cs="Times New Roman"/>
          <w:color w:val="auto"/>
          <w:sz w:val="28"/>
          <w:szCs w:val="28"/>
          <w:lang w:val="en-US"/>
        </w:rPr>
        <w:t>2 đến nay</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việc chi hỗ trợ giám định viên tư pháp và người làm công tác giám định</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thực hiện theo </w:t>
      </w:r>
      <w:r>
        <w:rPr>
          <w:rFonts w:ascii="Times New Roman" w:hAnsi="Times New Roman" w:cs="Times New Roman"/>
          <w:color w:val="auto"/>
          <w:sz w:val="28"/>
          <w:szCs w:val="28"/>
          <w:lang w:val="en-US"/>
        </w:rPr>
        <w:t xml:space="preserve">Nghị quyết số 31/2011/NQ-HĐND ngày 07 tháng 12 năm 2011 của Hội đồng nhân dân Thành phố về chế độ hỗ trợ cho giám định viên tư pháp và người làm công tác giám định trên địa bàn Thành phố Hồ Chí Minh thể hiện sự quan tâm của Thành phố đến chế độ, chính sách đãi ngội đối với đội ngũ giám định viên tư pháp và người làm công tác giám định tư pháp trên địa bàn Thành phố. </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color w:val="auto"/>
          <w:sz w:val="28"/>
          <w:szCs w:val="28"/>
          <w:lang w:val="en-US"/>
        </w:rPr>
        <w:t>Tại thời điểm xây dựng Nghị quyết số 31/2011/NQ-HĐND ngày 07 tháng 12 năm 2011, mức hổ trợ tính theo lương tối thiểu tại thời điểm ban hành chế độ hỗ trợ, cụ thể:</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color w:val="auto"/>
          <w:sz w:val="28"/>
          <w:szCs w:val="28"/>
          <w:lang w:val="en-US"/>
        </w:rPr>
        <w:t>- Đối với giám định viên tư pháp: hỗ trợ 830.000 đồng/người/tháng (tương đương 01 lần lương tối thiểu theo quy định tại thời điểm ban hành chế độ hỗ trợ).</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color w:val="auto"/>
          <w:sz w:val="28"/>
          <w:szCs w:val="28"/>
          <w:lang w:val="en-US"/>
        </w:rPr>
        <w:t xml:space="preserve">- Đối với người trực tiếp giúp việc cho giám định viên tư pháp: hỗ trợ 581.000 đồng/người/tháng (bằng 70% mức hỗ trợ đối với giám định viên tư </w:t>
      </w:r>
      <w:r>
        <w:rPr>
          <w:rFonts w:ascii="Times New Roman" w:hAnsi="Times New Roman" w:cs="Times New Roman"/>
          <w:color w:val="auto"/>
          <w:sz w:val="28"/>
          <w:szCs w:val="28"/>
          <w:lang w:val="en-US"/>
        </w:rPr>
        <w:lastRenderedPageBreak/>
        <w:t>pháp).</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Đối với người gián tiếp giúp việc cho giám định viên tư pháp: hỗ trợ 415.000 đồng/người/tháng (bằng 50% mức hỗ trợ đối với giám định viên tư pháp).</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Đến nay sau hơn 12 năm áp dụng Nghị quyết số 31/2011/NQ-HĐND, mức chi hỗ trợ giám định viên tư pháp và người làm công tác giám định đã không còn phù hợp với tình hình kinh tế, xã hội hiện tại, cụ thể là mức chi hỗ trợ còn thấp so với công sức của giám định viên tư pháp đã bỏ ra để thực hiện việc giám định, chưa tương xứng với trách nhiệm pháp lý, tính chất phức tạp, môi trường độc hại của công việc giám định, người có thực hiện vụ việc hay không thực hiện vụ việc trong tháng đều dược hưởng chính sách như nhau, người giám định tư pháp theo vụ việc chưa được hưởng chính sách... Đây chính là một trong những nguyên nhân dẫn đến việc không khuyến khích, động viên được các giám định viên tư pháp, người giám định tư pháp theo vụ việc tham gia hoạt động giám định và quan trọng hơn là không thu hút được các chuyên gia giỏi tham gia vào công tác giám định tư pháp.</w:t>
      </w:r>
      <w:bookmarkStart w:id="0" w:name="_Hlk173948840"/>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Ngoài ra, hiện nay các căn cứ ban hành Nghị quyết số 31/2011/NQ-HĐND đã hết hiệu lực (Luật Tổ chức Hội đồng nhân dân và Ủy ban nhân dân ngày 26 tháng 11 năm 2003, Luật Ban hành văn bản quy phạm pháp luật của Hội đồng nhân dân và Ủy ban nhân dân năm 2004, Pháp lệnh số 24/2004/PL-UBTVQH11 ngày 29 tháng 9 năm 2004 của Ủy ban Thường vụ Quốc hội khóa XI về giám định tư pháp và Nghị định số 67/2005/NĐ-CP ngày 19 tháng 8 năm 2005 của Chính phủ quy định chi tiết thi hành một số Điều của Pháp lệnh Giám định tư pháp). Do đó, cần thiết điều chỉnh chế độ hỗ trợ phù hợp với điều kiện thực tế hiện nay.</w:t>
      </w:r>
      <w:r>
        <w:rPr>
          <w:rFonts w:ascii="Times New Roman" w:hAnsi="Times New Roman" w:cs="Times New Roman"/>
          <w:sz w:val="28"/>
          <w:szCs w:val="28"/>
          <w:lang w:val="nb-NO"/>
        </w:rPr>
        <w:t xml:space="preserve"> </w:t>
      </w:r>
    </w:p>
    <w:p w:rsidR="00D327AC" w:rsidRDefault="007F4849">
      <w:pPr>
        <w:spacing w:before="120" w:line="288" w:lineRule="auto"/>
        <w:ind w:firstLine="607"/>
        <w:jc w:val="both"/>
        <w:rPr>
          <w:rFonts w:ascii="Times New Roman" w:hAnsi="Times New Roman" w:cs="Times New Roman"/>
          <w:i/>
          <w:color w:val="auto"/>
          <w:sz w:val="28"/>
          <w:szCs w:val="28"/>
          <w:lang w:val="en-US"/>
        </w:rPr>
      </w:pPr>
      <w:r>
        <w:rPr>
          <w:rFonts w:ascii="Times New Roman" w:hAnsi="Times New Roman" w:cs="Times New Roman"/>
          <w:b/>
          <w:i/>
          <w:sz w:val="28"/>
          <w:szCs w:val="28"/>
          <w:lang w:val="en-US"/>
        </w:rPr>
        <w:t>2</w:t>
      </w:r>
      <w:r w:rsidR="00C3636C">
        <w:rPr>
          <w:rFonts w:ascii="Times New Roman" w:hAnsi="Times New Roman" w:cs="Times New Roman"/>
          <w:b/>
          <w:i/>
          <w:sz w:val="28"/>
          <w:szCs w:val="28"/>
        </w:rPr>
        <w:t>.2. Mục tiêu giải quyết vấn đề</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sz w:val="28"/>
          <w:szCs w:val="28"/>
        </w:rPr>
        <w:t>- Đảm bảo tính pháp lý</w:t>
      </w:r>
      <w:r w:rsidR="007662E8">
        <w:rPr>
          <w:rFonts w:ascii="Times New Roman" w:hAnsi="Times New Roman" w:cs="Times New Roman"/>
          <w:sz w:val="28"/>
          <w:szCs w:val="28"/>
          <w:lang w:val="en-US"/>
        </w:rPr>
        <w:t>, công bằng</w:t>
      </w:r>
      <w:r>
        <w:rPr>
          <w:rFonts w:ascii="Times New Roman" w:hAnsi="Times New Roman" w:cs="Times New Roman"/>
          <w:sz w:val="28"/>
          <w:szCs w:val="28"/>
        </w:rPr>
        <w:t xml:space="preserve"> của chính sách</w:t>
      </w:r>
      <w:r w:rsidR="007662E8">
        <w:rPr>
          <w:rFonts w:ascii="Times New Roman" w:hAnsi="Times New Roman" w:cs="Times New Roman"/>
          <w:sz w:val="28"/>
          <w:szCs w:val="28"/>
          <w:lang w:val="en-US"/>
        </w:rPr>
        <w:t xml:space="preserve"> hỗ trợ cho giám định viên tư pháp, người làm công tác giám định tư pháp theo vụ việc và người giúp việc cho giám định viên tư pháp</w:t>
      </w:r>
      <w:r>
        <w:rPr>
          <w:rFonts w:ascii="Times New Roman" w:hAnsi="Times New Roman" w:cs="Times New Roman"/>
          <w:sz w:val="28"/>
          <w:szCs w:val="28"/>
        </w:rPr>
        <w:t>.</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sz w:val="28"/>
          <w:szCs w:val="28"/>
        </w:rPr>
        <w:t>- Phù hợp với khả năng nguồn lực và thực tiễn</w:t>
      </w:r>
      <w:r w:rsidR="007662E8">
        <w:rPr>
          <w:rFonts w:ascii="Times New Roman" w:hAnsi="Times New Roman" w:cs="Times New Roman"/>
          <w:sz w:val="28"/>
          <w:szCs w:val="28"/>
          <w:lang w:val="en-US"/>
        </w:rPr>
        <w:t xml:space="preserve"> hoạt động giám định tư pháp</w:t>
      </w:r>
      <w:r w:rsidR="00453F5F">
        <w:rPr>
          <w:rFonts w:ascii="Times New Roman" w:hAnsi="Times New Roman" w:cs="Times New Roman"/>
          <w:sz w:val="28"/>
          <w:szCs w:val="28"/>
          <w:lang w:val="en-US"/>
        </w:rPr>
        <w:t>, quản lý nhà nước về giám định tư pháp trên địa bàn Thành phố Hồ Chí Minh</w:t>
      </w:r>
      <w:r>
        <w:rPr>
          <w:rFonts w:ascii="Times New Roman" w:hAnsi="Times New Roman" w:cs="Times New Roman"/>
          <w:sz w:val="28"/>
          <w:szCs w:val="28"/>
        </w:rPr>
        <w:t>.</w:t>
      </w:r>
    </w:p>
    <w:p w:rsidR="00D327AC" w:rsidRDefault="007F4849">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b/>
          <w:sz w:val="28"/>
          <w:szCs w:val="28"/>
          <w:lang w:val="en-US"/>
        </w:rPr>
        <w:t>3</w:t>
      </w:r>
      <w:r w:rsidR="00C3636C">
        <w:rPr>
          <w:rFonts w:ascii="Times New Roman" w:hAnsi="Times New Roman" w:cs="Times New Roman"/>
          <w:b/>
          <w:sz w:val="28"/>
          <w:szCs w:val="28"/>
        </w:rPr>
        <w:t>. Các giải pháp và đánh giá tác động của các giải pháp đối với đối tượng chịu sự tác động trực tiếp của chính sách và các đối tượng khác có liên quan</w:t>
      </w:r>
    </w:p>
    <w:p w:rsidR="00D327AC" w:rsidRDefault="007F4849">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b/>
          <w:i/>
          <w:sz w:val="28"/>
          <w:szCs w:val="28"/>
          <w:lang w:val="en-US"/>
        </w:rPr>
        <w:t>3</w:t>
      </w:r>
      <w:r w:rsidR="00C3636C">
        <w:rPr>
          <w:rFonts w:ascii="Times New Roman" w:hAnsi="Times New Roman" w:cs="Times New Roman"/>
          <w:b/>
          <w:i/>
          <w:sz w:val="28"/>
          <w:szCs w:val="28"/>
        </w:rPr>
        <w:t>.1. Các giải pháp</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lastRenderedPageBreak/>
        <w:t xml:space="preserve">Chế độ hỗ trợ cho giám định viên tư pháp và người làm công tác giám định trên địa bàn Thành phố Hồ Chí Minh là chế độ đặc thù của </w:t>
      </w:r>
      <w:r w:rsidR="00453F5F">
        <w:rPr>
          <w:rFonts w:ascii="Times New Roman" w:hAnsi="Times New Roman" w:cs="Times New Roman"/>
          <w:color w:val="auto"/>
          <w:sz w:val="28"/>
          <w:szCs w:val="28"/>
          <w:lang w:val="en-US"/>
        </w:rPr>
        <w:t xml:space="preserve">Hội đồng nhân dân và </w:t>
      </w:r>
      <w:r>
        <w:rPr>
          <w:rFonts w:ascii="Times New Roman" w:hAnsi="Times New Roman" w:cs="Times New Roman"/>
          <w:color w:val="auto"/>
          <w:sz w:val="28"/>
          <w:szCs w:val="28"/>
        </w:rPr>
        <w:t xml:space="preserve">Ủy ban nhân dân Thành phố đối với giám định viên tư pháp và người làm công tác giám định tư pháp, </w:t>
      </w:r>
      <w:r>
        <w:rPr>
          <w:rFonts w:ascii="Times New Roman" w:hAnsi="Times New Roman" w:cs="Times New Roman"/>
          <w:color w:val="auto"/>
          <w:sz w:val="28"/>
          <w:szCs w:val="28"/>
          <w:lang w:val="en-US"/>
        </w:rPr>
        <w:t>nhằm khuyến khích, hỗ trợ, huy động nguồn lực cho công tác giám định tư pháp trên địa bàn Thành phố,</w:t>
      </w:r>
      <w:r>
        <w:rPr>
          <w:rFonts w:ascii="Times New Roman" w:hAnsi="Times New Roman" w:cs="Times New Roman"/>
          <w:bCs/>
          <w:color w:val="auto"/>
          <w:sz w:val="28"/>
          <w:szCs w:val="28"/>
          <w:lang w:val="en-US"/>
        </w:rPr>
        <w:t xml:space="preserve"> thu hút, tuyển dụng được các chuyên gia giỏi tham gia vào công tác giám định tư pháp qua đó </w:t>
      </w:r>
      <w:r>
        <w:rPr>
          <w:rFonts w:ascii="Times New Roman" w:hAnsi="Times New Roman" w:cs="Times New Roman"/>
          <w:bCs/>
          <w:color w:val="auto"/>
          <w:sz w:val="28"/>
          <w:szCs w:val="28"/>
        </w:rPr>
        <w:t>nâng cao hiệu quả hoạt động giám định tư pháp</w:t>
      </w:r>
      <w:r>
        <w:rPr>
          <w:rFonts w:ascii="Times New Roman" w:hAnsi="Times New Roman" w:cs="Times New Roman"/>
          <w:bCs/>
          <w:color w:val="auto"/>
          <w:sz w:val="28"/>
          <w:szCs w:val="28"/>
          <w:lang w:val="en-US"/>
        </w:rPr>
        <w:t xml:space="preserve"> </w:t>
      </w:r>
      <w:r>
        <w:rPr>
          <w:rFonts w:ascii="Times New Roman" w:hAnsi="Times New Roman" w:cs="Times New Roman"/>
          <w:bCs/>
          <w:color w:val="auto"/>
          <w:sz w:val="28"/>
          <w:szCs w:val="28"/>
        </w:rPr>
        <w:t>trên địa bàn Thành phố.</w:t>
      </w:r>
      <w:r>
        <w:rPr>
          <w:rFonts w:ascii="Times New Roman" w:hAnsi="Times New Roman" w:cs="Times New Roman"/>
          <w:color w:val="auto"/>
          <w:sz w:val="28"/>
          <w:szCs w:val="28"/>
          <w:lang w:val="en-US"/>
        </w:rPr>
        <w:t xml:space="preserve"> P</w:t>
      </w:r>
      <w:r>
        <w:rPr>
          <w:rFonts w:ascii="Times New Roman" w:hAnsi="Times New Roman" w:cs="Times New Roman"/>
          <w:color w:val="auto"/>
          <w:sz w:val="28"/>
          <w:szCs w:val="28"/>
        </w:rPr>
        <w:t xml:space="preserve">háp luật </w:t>
      </w:r>
      <w:r>
        <w:rPr>
          <w:rFonts w:ascii="Times New Roman" w:hAnsi="Times New Roman" w:cs="Times New Roman"/>
          <w:color w:val="auto"/>
          <w:sz w:val="28"/>
          <w:szCs w:val="28"/>
          <w:lang w:val="en-US"/>
        </w:rPr>
        <w:t xml:space="preserve">hiện hành </w:t>
      </w:r>
      <w:r>
        <w:rPr>
          <w:rFonts w:ascii="Times New Roman" w:hAnsi="Times New Roman" w:cs="Times New Roman"/>
          <w:color w:val="auto"/>
          <w:sz w:val="28"/>
          <w:szCs w:val="28"/>
        </w:rPr>
        <w:t>không quy định cụ thể về m</w:t>
      </w:r>
      <w:r>
        <w:rPr>
          <w:rFonts w:ascii="Times New Roman" w:hAnsi="Times New Roman" w:cs="Times New Roman"/>
          <w:color w:val="auto"/>
          <w:sz w:val="28"/>
          <w:szCs w:val="28"/>
          <w:lang w:val="en-US"/>
        </w:rPr>
        <w:t>ứ</w:t>
      </w:r>
      <w:r>
        <w:rPr>
          <w:rFonts w:ascii="Times New Roman" w:hAnsi="Times New Roman" w:cs="Times New Roman"/>
          <w:color w:val="auto"/>
          <w:sz w:val="28"/>
          <w:szCs w:val="28"/>
        </w:rPr>
        <w:t>c chi đố</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 với chế độ này. </w:t>
      </w:r>
    </w:p>
    <w:p w:rsidR="00D6369E" w:rsidRDefault="00D6369E" w:rsidP="00D6369E">
      <w:pPr>
        <w:spacing w:before="120" w:line="288" w:lineRule="auto"/>
        <w:ind w:firstLine="607"/>
        <w:jc w:val="both"/>
        <w:rPr>
          <w:rFonts w:ascii="Times New Roman" w:eastAsia="Times New Roman" w:hAnsi="Times New Roman" w:cs="Times New Roman"/>
          <w:i/>
          <w:color w:val="auto"/>
          <w:spacing w:val="4"/>
          <w:sz w:val="28"/>
          <w:szCs w:val="28"/>
          <w:lang w:val="nb-NO" w:eastAsia="en-US"/>
        </w:rPr>
      </w:pPr>
      <w:bookmarkStart w:id="1" w:name="_GoBack"/>
      <w:bookmarkEnd w:id="1"/>
      <w:r>
        <w:rPr>
          <w:rFonts w:ascii="Times New Roman" w:hAnsi="Times New Roman" w:cs="Times New Roman"/>
          <w:color w:val="FF0000"/>
          <w:sz w:val="28"/>
          <w:szCs w:val="28"/>
          <w:lang w:val="en-US"/>
        </w:rPr>
        <w:t xml:space="preserve">Nghị định </w:t>
      </w:r>
      <w:r w:rsidRPr="003A6747">
        <w:rPr>
          <w:rFonts w:ascii="Times New Roman" w:eastAsia="Times New Roman" w:hAnsi="Times New Roman" w:cs="Times New Roman"/>
          <w:color w:val="auto"/>
          <w:sz w:val="28"/>
          <w:szCs w:val="28"/>
          <w:lang w:val="nb-NO" w:eastAsia="en-US"/>
        </w:rPr>
        <w:t>số 84/2024/NĐ-CP</w:t>
      </w:r>
      <w:r>
        <w:rPr>
          <w:rFonts w:ascii="Times New Roman" w:eastAsia="Times New Roman" w:hAnsi="Times New Roman" w:cs="Times New Roman"/>
          <w:color w:val="auto"/>
          <w:sz w:val="28"/>
          <w:szCs w:val="28"/>
          <w:lang w:val="nb-NO" w:eastAsia="en-US"/>
        </w:rPr>
        <w:t xml:space="preserve"> đã cho phép Thành phố </w:t>
      </w:r>
      <w:r w:rsidRPr="003A6747">
        <w:rPr>
          <w:rFonts w:ascii="Times New Roman" w:eastAsia="Times New Roman" w:hAnsi="Times New Roman" w:cs="Times New Roman"/>
          <w:color w:val="auto"/>
          <w:sz w:val="28"/>
          <w:szCs w:val="28"/>
          <w:lang w:val="nb-NO" w:eastAsia="en-US"/>
        </w:rPr>
        <w:t xml:space="preserve">Quyết định các </w:t>
      </w:r>
      <w:r w:rsidRPr="003A6747">
        <w:rPr>
          <w:rFonts w:ascii="Times New Roman" w:eastAsia="Times New Roman" w:hAnsi="Times New Roman" w:cs="Times New Roman"/>
          <w:color w:val="auto"/>
          <w:spacing w:val="-2"/>
          <w:sz w:val="28"/>
          <w:szCs w:val="28"/>
          <w:lang w:val="nb-NO" w:eastAsia="en-US"/>
        </w:rPr>
        <w:t>chế độ chi ngân sách đối với một số nhiệm vụ chi có tính chất đặc thù ở địa phương ngoài các chế độ, tiêu chuẩn, định mức chi tiêu do Chính phủ, Thủ tướng</w:t>
      </w:r>
      <w:r w:rsidRPr="003A6747">
        <w:rPr>
          <w:rFonts w:ascii="Times New Roman" w:eastAsia="Times New Roman" w:hAnsi="Times New Roman" w:cs="Times New Roman"/>
          <w:color w:val="auto"/>
          <w:sz w:val="28"/>
          <w:szCs w:val="28"/>
          <w:lang w:val="nb-NO" w:eastAsia="en-US"/>
        </w:rPr>
        <w:t xml:space="preserve"> Chính phủ, Bộ trưởng Bộ Tài chính ban hành để thực hiện nhiệm vụ phát triển </w:t>
      </w:r>
      <w:r w:rsidRPr="003A6747">
        <w:rPr>
          <w:rFonts w:ascii="Times New Roman" w:eastAsia="Times New Roman" w:hAnsi="Times New Roman" w:cs="Times New Roman"/>
          <w:color w:val="auto"/>
          <w:spacing w:val="-4"/>
          <w:sz w:val="28"/>
          <w:szCs w:val="28"/>
          <w:lang w:val="nb-NO" w:eastAsia="en-US"/>
        </w:rPr>
        <w:t>kinh tế - xã hội, bảo đảm trật tự, an toàn xã hội trên địa bàn, phù hợp với khả năng</w:t>
      </w:r>
      <w:r w:rsidRPr="003A6747">
        <w:rPr>
          <w:rFonts w:ascii="Times New Roman" w:eastAsia="Times New Roman" w:hAnsi="Times New Roman" w:cs="Times New Roman"/>
          <w:color w:val="auto"/>
          <w:sz w:val="28"/>
          <w:szCs w:val="28"/>
          <w:lang w:val="nb-NO" w:eastAsia="en-US"/>
        </w:rPr>
        <w:t xml:space="preserve"> </w:t>
      </w:r>
      <w:r w:rsidRPr="003A6747">
        <w:rPr>
          <w:rFonts w:ascii="Times New Roman" w:eastAsia="Times New Roman" w:hAnsi="Times New Roman" w:cs="Times New Roman"/>
          <w:color w:val="auto"/>
          <w:spacing w:val="4"/>
          <w:sz w:val="28"/>
          <w:szCs w:val="28"/>
          <w:lang w:val="nb-NO" w:eastAsia="en-US"/>
        </w:rPr>
        <w:t>cân đối của ngân sách địa phương, ngân sách trung ương không hỗ trợ</w:t>
      </w:r>
      <w:r>
        <w:rPr>
          <w:rFonts w:ascii="Times New Roman" w:eastAsia="Times New Roman" w:hAnsi="Times New Roman" w:cs="Times New Roman"/>
          <w:color w:val="auto"/>
          <w:spacing w:val="4"/>
          <w:sz w:val="28"/>
          <w:szCs w:val="28"/>
          <w:lang w:val="nb-NO" w:eastAsia="en-US"/>
        </w:rPr>
        <w:t>.</w:t>
      </w:r>
      <w:r w:rsidRPr="003A6747">
        <w:rPr>
          <w:rFonts w:ascii="Times New Roman" w:eastAsia="Times New Roman" w:hAnsi="Times New Roman" w:cs="Times New Roman"/>
          <w:color w:val="auto"/>
          <w:sz w:val="28"/>
          <w:szCs w:val="28"/>
          <w:lang w:val="nb-NO" w:eastAsia="en-US"/>
        </w:rPr>
        <w:t xml:space="preserve"> </w:t>
      </w:r>
      <w:r>
        <w:rPr>
          <w:rFonts w:ascii="Times New Roman" w:eastAsia="Times New Roman" w:hAnsi="Times New Roman" w:cs="Times New Roman"/>
          <w:color w:val="auto"/>
          <w:sz w:val="28"/>
          <w:szCs w:val="28"/>
          <w:lang w:val="nb-NO" w:eastAsia="en-US"/>
        </w:rPr>
        <w:t>(Đ</w:t>
      </w:r>
      <w:r w:rsidRPr="003A6747">
        <w:rPr>
          <w:rFonts w:ascii="Times New Roman" w:eastAsia="Times New Roman" w:hAnsi="Times New Roman" w:cs="Times New Roman"/>
          <w:color w:val="auto"/>
          <w:sz w:val="28"/>
          <w:szCs w:val="28"/>
          <w:lang w:val="nb-NO" w:eastAsia="en-US"/>
        </w:rPr>
        <w:t xml:space="preserve">iểm a Khoản 1 Điều 5 Nghị định số 84/2024/NĐ-CP quy định: </w:t>
      </w:r>
      <w:r w:rsidRPr="003A6747">
        <w:rPr>
          <w:rFonts w:ascii="Times New Roman" w:eastAsia="Times New Roman" w:hAnsi="Times New Roman" w:cs="Times New Roman"/>
          <w:i/>
          <w:color w:val="auto"/>
          <w:sz w:val="28"/>
          <w:szCs w:val="28"/>
          <w:lang w:val="nb-NO" w:eastAsia="en-US"/>
        </w:rPr>
        <w:t>“1. Ủy ban nhân dân Thành phố trình Hội đồng nhân dân Thành phố:</w:t>
      </w:r>
      <w:r w:rsidRPr="003A6747">
        <w:rPr>
          <w:rFonts w:ascii="Times New Roman" w:eastAsia="Times New Roman" w:hAnsi="Times New Roman" w:cs="Times New Roman"/>
          <w:color w:val="auto"/>
          <w:sz w:val="28"/>
          <w:szCs w:val="28"/>
          <w:lang w:val="nb-NO" w:eastAsia="en-US"/>
        </w:rPr>
        <w:t xml:space="preserve"> </w:t>
      </w:r>
      <w:r w:rsidRPr="003A6747">
        <w:rPr>
          <w:rFonts w:ascii="Times New Roman" w:eastAsia="Times New Roman" w:hAnsi="Times New Roman" w:cs="Times New Roman"/>
          <w:i/>
          <w:color w:val="auto"/>
          <w:sz w:val="28"/>
          <w:szCs w:val="28"/>
          <w:lang w:val="nb-NO" w:eastAsia="en-US"/>
        </w:rPr>
        <w:t xml:space="preserve">a) Quyết định các </w:t>
      </w:r>
      <w:r w:rsidRPr="003A6747">
        <w:rPr>
          <w:rFonts w:ascii="Times New Roman" w:eastAsia="Times New Roman" w:hAnsi="Times New Roman" w:cs="Times New Roman"/>
          <w:i/>
          <w:color w:val="auto"/>
          <w:spacing w:val="-2"/>
          <w:sz w:val="28"/>
          <w:szCs w:val="28"/>
          <w:lang w:val="nb-NO" w:eastAsia="en-US"/>
        </w:rPr>
        <w:t>chế độ chi ngân sách đối với một số nhiệm vụ chi có tính chất đặc thù ở địa phương ngoài các chế độ, tiêu chuẩn, định mức chi tiêu do Chính phủ, Thủ tướng</w:t>
      </w:r>
      <w:r w:rsidRPr="003A6747">
        <w:rPr>
          <w:rFonts w:ascii="Times New Roman" w:eastAsia="Times New Roman" w:hAnsi="Times New Roman" w:cs="Times New Roman"/>
          <w:i/>
          <w:color w:val="auto"/>
          <w:sz w:val="28"/>
          <w:szCs w:val="28"/>
          <w:lang w:val="nb-NO" w:eastAsia="en-US"/>
        </w:rPr>
        <w:t xml:space="preserve"> Chính phủ, Bộ trưởng Bộ Tài chính ban hành để thực hiện nhiệm vụ phát triển </w:t>
      </w:r>
      <w:r w:rsidRPr="003A6747">
        <w:rPr>
          <w:rFonts w:ascii="Times New Roman" w:eastAsia="Times New Roman" w:hAnsi="Times New Roman" w:cs="Times New Roman"/>
          <w:i/>
          <w:color w:val="auto"/>
          <w:spacing w:val="-4"/>
          <w:sz w:val="28"/>
          <w:szCs w:val="28"/>
          <w:lang w:val="nb-NO" w:eastAsia="en-US"/>
        </w:rPr>
        <w:t>kinh tế - xã hội, bảo đảm trật tự, an toàn xã hội trên địa bàn, phù hợp với khả năng</w:t>
      </w:r>
      <w:r w:rsidRPr="003A6747">
        <w:rPr>
          <w:rFonts w:ascii="Times New Roman" w:eastAsia="Times New Roman" w:hAnsi="Times New Roman" w:cs="Times New Roman"/>
          <w:i/>
          <w:color w:val="auto"/>
          <w:sz w:val="28"/>
          <w:szCs w:val="28"/>
          <w:lang w:val="nb-NO" w:eastAsia="en-US"/>
        </w:rPr>
        <w:t xml:space="preserve"> </w:t>
      </w:r>
      <w:r w:rsidRPr="003A6747">
        <w:rPr>
          <w:rFonts w:ascii="Times New Roman" w:eastAsia="Times New Roman" w:hAnsi="Times New Roman" w:cs="Times New Roman"/>
          <w:i/>
          <w:color w:val="auto"/>
          <w:spacing w:val="4"/>
          <w:sz w:val="28"/>
          <w:szCs w:val="28"/>
          <w:lang w:val="nb-NO" w:eastAsia="en-US"/>
        </w:rPr>
        <w:t>cân đối của ngân sách địa phương, ngân sách trung ương không hỗ trợ;”</w:t>
      </w:r>
      <w:r>
        <w:rPr>
          <w:rFonts w:ascii="Times New Roman" w:eastAsia="Times New Roman" w:hAnsi="Times New Roman" w:cs="Times New Roman"/>
          <w:i/>
          <w:color w:val="auto"/>
          <w:spacing w:val="4"/>
          <w:sz w:val="28"/>
          <w:szCs w:val="28"/>
          <w:lang w:val="nb-NO" w:eastAsia="en-US"/>
        </w:rPr>
        <w:t>)</w:t>
      </w:r>
    </w:p>
    <w:p w:rsidR="00D6369E" w:rsidRPr="00ED35EE" w:rsidRDefault="00D6369E" w:rsidP="00D6369E">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Vì vậy,</w:t>
      </w:r>
      <w:r w:rsidRPr="00ED35EE">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v</w:t>
      </w:r>
      <w:r w:rsidRPr="00ED35EE">
        <w:rPr>
          <w:rFonts w:ascii="Times New Roman" w:hAnsi="Times New Roman" w:cs="Times New Roman"/>
          <w:color w:val="auto"/>
          <w:sz w:val="28"/>
          <w:szCs w:val="28"/>
          <w:lang w:val="en-US"/>
        </w:rPr>
        <w:t xml:space="preserve">iệc tiếp tục thực hiện chính sách chi hỗ trợ cho giám định viên tư pháp, người giám định tư pháp theo vụ việc và người làm công tác giám định trên địa bàn Thành phố Hồ Chí Minh </w:t>
      </w:r>
      <w:r>
        <w:rPr>
          <w:rFonts w:ascii="Times New Roman" w:hAnsi="Times New Roman" w:cs="Times New Roman"/>
          <w:color w:val="auto"/>
          <w:sz w:val="28"/>
          <w:szCs w:val="28"/>
          <w:lang w:val="en-US"/>
        </w:rPr>
        <w:t xml:space="preserve"> có ý nghĩa thiết thực, </w:t>
      </w:r>
      <w:r w:rsidRPr="00C0701A">
        <w:rPr>
          <w:rFonts w:ascii="Times New Roman" w:hAnsi="Times New Roman" w:cs="Times New Roman"/>
          <w:color w:val="auto"/>
          <w:sz w:val="28"/>
          <w:szCs w:val="28"/>
          <w:lang w:val="en-US"/>
        </w:rPr>
        <w:t>khuy</w:t>
      </w:r>
      <w:r w:rsidRPr="00ED35EE">
        <w:rPr>
          <w:rFonts w:ascii="Times New Roman" w:hAnsi="Times New Roman" w:cs="Times New Roman"/>
          <w:color w:val="auto"/>
          <w:sz w:val="28"/>
          <w:szCs w:val="28"/>
          <w:lang w:val="en-US"/>
        </w:rPr>
        <w:t xml:space="preserve">ến khích, động viên được các giám </w:t>
      </w:r>
      <w:r w:rsidRPr="00C0701A">
        <w:rPr>
          <w:rFonts w:ascii="Times New Roman" w:hAnsi="Times New Roman" w:cs="Times New Roman"/>
          <w:color w:val="auto"/>
          <w:sz w:val="28"/>
          <w:szCs w:val="28"/>
          <w:lang w:val="en-US"/>
        </w:rPr>
        <w:t xml:space="preserve">định viên tư pháp, người giám định tư pháp theo vụ việc </w:t>
      </w:r>
      <w:r w:rsidRPr="00ED35EE">
        <w:rPr>
          <w:rFonts w:ascii="Times New Roman" w:hAnsi="Times New Roman" w:cs="Times New Roman"/>
          <w:color w:val="auto"/>
          <w:sz w:val="28"/>
          <w:szCs w:val="28"/>
          <w:lang w:val="en-US"/>
        </w:rPr>
        <w:t>yên tâm công tác, hoàn thành tốt nhiệm vụ</w:t>
      </w:r>
      <w:r w:rsidRPr="00C0701A">
        <w:rPr>
          <w:rFonts w:ascii="Times New Roman" w:hAnsi="Times New Roman" w:cs="Times New Roman"/>
          <w:color w:val="auto"/>
          <w:sz w:val="28"/>
          <w:szCs w:val="28"/>
          <w:lang w:val="en-US"/>
        </w:rPr>
        <w:t xml:space="preserve"> và quan trọng hơn là thu hút được các chuyên gia giỏi tham gia vào công tác giám định tư pháp.</w:t>
      </w:r>
    </w:p>
    <w:p w:rsidR="00D6369E" w:rsidRPr="00543BEE" w:rsidRDefault="00D6369E" w:rsidP="00D6369E">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Do đó, Ủy ban nhân dân Thành phố nhận thấy có đủ cơ sở để trình Hội đồng nhân dân Thành phố đề nghị </w:t>
      </w:r>
      <w:r w:rsidRPr="002329D0">
        <w:rPr>
          <w:rFonts w:ascii="Times New Roman" w:hAnsi="Times New Roman" w:cs="Times New Roman"/>
          <w:color w:val="auto"/>
          <w:sz w:val="28"/>
          <w:szCs w:val="28"/>
          <w:lang w:val="en-US"/>
        </w:rPr>
        <w:t>xây dựng Nghị quyết của Hội đồng nhân dân Thành phố về chế độ hỗ trợ cho giám định viên tư pháp</w:t>
      </w:r>
      <w:r>
        <w:rPr>
          <w:rFonts w:ascii="Times New Roman" w:hAnsi="Times New Roman" w:cs="Times New Roman"/>
          <w:color w:val="auto"/>
          <w:sz w:val="28"/>
          <w:szCs w:val="28"/>
          <w:lang w:val="en-US"/>
        </w:rPr>
        <w:t xml:space="preserve">, người giám định tư pháp theo vụ việc </w:t>
      </w:r>
      <w:r w:rsidRPr="002329D0">
        <w:rPr>
          <w:rFonts w:ascii="Times New Roman" w:hAnsi="Times New Roman" w:cs="Times New Roman"/>
          <w:color w:val="auto"/>
          <w:sz w:val="28"/>
          <w:szCs w:val="28"/>
          <w:lang w:val="en-US"/>
        </w:rPr>
        <w:t>và người làm công tác giám</w:t>
      </w:r>
      <w:r w:rsidRPr="00ED35EE">
        <w:rPr>
          <w:rFonts w:ascii="Times New Roman" w:hAnsi="Times New Roman" w:cs="Times New Roman"/>
          <w:color w:val="auto"/>
          <w:sz w:val="28"/>
          <w:szCs w:val="28"/>
          <w:lang w:val="en-US"/>
        </w:rPr>
        <w:t xml:space="preserve"> định trên địa bàn Thành phố Hồ Chí Minh</w:t>
      </w:r>
      <w:r w:rsidRPr="002329D0">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w:t>
      </w:r>
      <w:r w:rsidRPr="002329D0">
        <w:rPr>
          <w:rFonts w:ascii="Times New Roman" w:hAnsi="Times New Roman" w:cs="Times New Roman"/>
          <w:color w:val="auto"/>
          <w:sz w:val="28"/>
          <w:szCs w:val="28"/>
          <w:lang w:val="en-US"/>
        </w:rPr>
        <w:t>thay thế Nghị quyết số 31/2011/NQ-HĐND ngày 07 tháng 12 năm 2011 của Hội đồng nhân dân Thành phố về chế độ hỗ trợ cho giám định viên tư pháp và người làm công tác giám</w:t>
      </w:r>
      <w:r w:rsidRPr="00ED35EE">
        <w:rPr>
          <w:rFonts w:ascii="Times New Roman" w:hAnsi="Times New Roman" w:cs="Times New Roman"/>
          <w:color w:val="auto"/>
          <w:sz w:val="28"/>
          <w:szCs w:val="28"/>
          <w:lang w:val="en-US"/>
        </w:rPr>
        <w:t xml:space="preserve"> định trên địa bàn Thành phố Hồ Chí Minh).</w:t>
      </w:r>
      <w:r>
        <w:rPr>
          <w:rFonts w:ascii="Times New Roman" w:hAnsi="Times New Roman" w:cs="Times New Roman"/>
          <w:color w:val="auto"/>
          <w:sz w:val="28"/>
          <w:szCs w:val="28"/>
          <w:lang w:val="en-US"/>
        </w:rPr>
        <w:t xml:space="preserve"> </w:t>
      </w:r>
      <w:r>
        <w:rPr>
          <w:rFonts w:ascii="Times New Roman" w:eastAsia="Times New Roman" w:hAnsi="Times New Roman" w:cs="Times New Roman"/>
          <w:bCs/>
          <w:color w:val="auto"/>
          <w:sz w:val="28"/>
          <w:szCs w:val="28"/>
          <w:lang w:val="en-US" w:eastAsia="en-US"/>
        </w:rPr>
        <w:t>Mức chi hỗ trợ c</w:t>
      </w:r>
      <w:r w:rsidRPr="00C0693A">
        <w:rPr>
          <w:rFonts w:ascii="Times New Roman" w:hAnsi="Times New Roman" w:cs="Times New Roman"/>
          <w:color w:val="auto"/>
          <w:sz w:val="28"/>
          <w:szCs w:val="28"/>
        </w:rPr>
        <w:t>ụ thể như sau:</w:t>
      </w:r>
    </w:p>
    <w:p w:rsidR="00D6369E" w:rsidRPr="00DB49BD" w:rsidRDefault="00D6369E" w:rsidP="00D6369E">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rPr>
        <w:t>- Đối với giám định viên tư pháp: 2.500.000 đồng/người/tháng có thực hiện vụ việc.</w:t>
      </w:r>
    </w:p>
    <w:p w:rsidR="00D6369E" w:rsidRPr="00DB49BD" w:rsidRDefault="00D6369E" w:rsidP="00D6369E">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rPr>
        <w:lastRenderedPageBreak/>
        <w:t>- Đối với người giám định tư pháp theo vụ việc hưởng lương từ ngân sách nhà nước thực hiện giám định tư pháp: 2.500.000 đồng/người/tháng có thực hiện vụ việc.</w:t>
      </w:r>
    </w:p>
    <w:p w:rsidR="00D6369E" w:rsidRPr="00DB49BD" w:rsidRDefault="00D6369E" w:rsidP="00D6369E">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rPr>
        <w:t>- Đối với người trực tiếp giúp việc cho giám định viên tư pháp: 1.500.000 đồng/người/tháng có thực hiện vụ việc.</w:t>
      </w:r>
    </w:p>
    <w:p w:rsidR="00D6369E" w:rsidRDefault="00D6369E" w:rsidP="00D6369E">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rPr>
        <w:t xml:space="preserve">- Đối với người gián tiếp giúp việc cho giám định viên tư pháp: 1.000.000 đồng/người/tháng có thực hiện vụ việc. </w:t>
      </w:r>
    </w:p>
    <w:bookmarkEnd w:id="0"/>
    <w:p w:rsidR="00D327AC" w:rsidRPr="00B718AC" w:rsidRDefault="00C3636C">
      <w:pPr>
        <w:spacing w:before="120" w:line="288" w:lineRule="auto"/>
        <w:ind w:firstLine="607"/>
        <w:jc w:val="both"/>
        <w:rPr>
          <w:rFonts w:ascii="Times New Roman" w:hAnsi="Times New Roman" w:cs="Times New Roman"/>
          <w:iCs/>
          <w:color w:val="auto"/>
          <w:sz w:val="28"/>
          <w:szCs w:val="28"/>
          <w:lang w:val="en-US"/>
        </w:rPr>
      </w:pPr>
      <w:r w:rsidRPr="00B718AC">
        <w:rPr>
          <w:rFonts w:ascii="Times New Roman" w:hAnsi="Times New Roman" w:cs="Times New Roman"/>
          <w:iCs/>
          <w:color w:val="auto"/>
          <w:sz w:val="28"/>
          <w:szCs w:val="28"/>
          <w:lang w:val="en-US"/>
        </w:rPr>
        <w:t>Thời gian áp dụng: từ ngày 01 tháng 01 năm 2025</w:t>
      </w:r>
    </w:p>
    <w:p w:rsidR="00D327AC" w:rsidRDefault="00C3636C">
      <w:pPr>
        <w:widowControl/>
        <w:spacing w:before="120" w:after="160" w:line="288" w:lineRule="auto"/>
        <w:ind w:firstLine="607"/>
        <w:jc w:val="both"/>
        <w:rPr>
          <w:rFonts w:ascii="Times New Roman" w:eastAsia="Times New Roman" w:hAnsi="Times New Roman" w:cs="Times New Roman"/>
          <w:i/>
          <w:iCs/>
          <w:color w:val="FF0000"/>
          <w:sz w:val="28"/>
          <w:szCs w:val="28"/>
          <w:lang w:val="en-US" w:eastAsia="en-US"/>
        </w:rPr>
      </w:pPr>
      <w:r w:rsidRPr="00B718AC">
        <w:rPr>
          <w:rFonts w:ascii="Times New Roman" w:eastAsia="Times New Roman" w:hAnsi="Times New Roman" w:cs="Times New Roman"/>
          <w:iCs/>
          <w:color w:val="auto"/>
          <w:sz w:val="28"/>
          <w:szCs w:val="28"/>
          <w:lang w:val="en-US" w:eastAsia="en-US"/>
        </w:rPr>
        <w:t>Qua rà soát, hiện nay, kinh phí cho việc chi hỗ trợ giám định viên tư pháp và người làm công tác giám định tư pháp trên địa bàn Thành phố được bố trí từ nguồn kinh phí không tự chủ, cụ thể kinh phí dự toán cho việc chi hỗ trợ năm 2020 là 4.540.000.000 đồng, năm 2021 là 3.046.000.000 đồng, năm 2022 là 3.046.000.000 đồng, năm 2023 là 3.046.000.000 đồng và năm 2024 là 3.215.000.000 đồng; tính trung bình mỗi năm kinh phí cho việc chi hỗ trợ giám định viên tư pháp và người làm công tác giám định tư pháp trên địa bàn Thành phố là 3.570.000.000 đồng.</w:t>
      </w:r>
      <w:r>
        <w:rPr>
          <w:rFonts w:ascii="Times New Roman" w:eastAsia="Times New Roman" w:hAnsi="Times New Roman" w:cs="Times New Roman"/>
          <w:i/>
          <w:iCs/>
          <w:color w:val="FF0000"/>
          <w:sz w:val="28"/>
          <w:szCs w:val="28"/>
          <w:lang w:val="en-US" w:eastAsia="en-US"/>
        </w:rPr>
        <w:t xml:space="preserve"> </w:t>
      </w:r>
    </w:p>
    <w:p w:rsidR="00B718AC" w:rsidRPr="00B718AC" w:rsidRDefault="00B718AC" w:rsidP="00B718AC">
      <w:pPr>
        <w:spacing w:before="120" w:line="288" w:lineRule="auto"/>
        <w:ind w:firstLine="607"/>
        <w:jc w:val="both"/>
        <w:rPr>
          <w:rFonts w:ascii="Times New Roman" w:hAnsi="Times New Roman" w:cs="Times New Roman"/>
          <w:sz w:val="28"/>
          <w:szCs w:val="28"/>
        </w:rPr>
      </w:pPr>
      <w:r w:rsidRPr="00B718AC">
        <w:rPr>
          <w:rFonts w:ascii="Times New Roman" w:hAnsi="Times New Roman" w:cs="Times New Roman"/>
          <w:sz w:val="28"/>
          <w:szCs w:val="28"/>
        </w:rPr>
        <w:t>Trường hợp Nghị quyết được thông qua, dự kiến kinh phí thực hiện hỗ trợ 01 năm là 11.538.000.000 đồng; cụ thể:</w:t>
      </w:r>
    </w:p>
    <w:p w:rsidR="00B718AC" w:rsidRPr="00B718AC" w:rsidRDefault="00B718AC" w:rsidP="00B718AC">
      <w:pPr>
        <w:spacing w:before="120" w:line="288" w:lineRule="auto"/>
        <w:ind w:firstLine="607"/>
        <w:jc w:val="both"/>
        <w:rPr>
          <w:rFonts w:ascii="Times New Roman" w:hAnsi="Times New Roman" w:cs="Times New Roman"/>
          <w:sz w:val="28"/>
          <w:szCs w:val="28"/>
        </w:rPr>
      </w:pPr>
      <w:r w:rsidRPr="00B718AC">
        <w:rPr>
          <w:rFonts w:ascii="Times New Roman" w:hAnsi="Times New Roman" w:cs="Times New Roman"/>
          <w:sz w:val="28"/>
          <w:szCs w:val="28"/>
        </w:rPr>
        <w:t>- Giám định viên tư pháp: 6.930.000.000 đồng (231 người x 2.500.000 đồng/người/tháng x 12 tháng).</w:t>
      </w:r>
    </w:p>
    <w:p w:rsidR="00B718AC" w:rsidRPr="00B718AC" w:rsidRDefault="00B718AC" w:rsidP="00B718AC">
      <w:pPr>
        <w:spacing w:before="120" w:line="288" w:lineRule="auto"/>
        <w:ind w:firstLine="607"/>
        <w:jc w:val="both"/>
        <w:rPr>
          <w:rFonts w:ascii="Times New Roman" w:hAnsi="Times New Roman" w:cs="Times New Roman"/>
          <w:sz w:val="28"/>
          <w:szCs w:val="28"/>
        </w:rPr>
      </w:pPr>
      <w:r w:rsidRPr="00B718AC">
        <w:rPr>
          <w:rFonts w:ascii="Times New Roman" w:hAnsi="Times New Roman" w:cs="Times New Roman"/>
          <w:sz w:val="28"/>
          <w:szCs w:val="28"/>
        </w:rPr>
        <w:t>- Người giám định tư pháp theo vụ việc: 1.560.000.000 đồng (52 người x 2.500.000 đồng/người/tháng x 12 tháng).</w:t>
      </w:r>
    </w:p>
    <w:p w:rsidR="00B718AC" w:rsidRPr="00B718AC" w:rsidRDefault="00B718AC" w:rsidP="00B718AC">
      <w:pPr>
        <w:spacing w:before="120" w:line="288" w:lineRule="auto"/>
        <w:ind w:firstLine="607"/>
        <w:jc w:val="both"/>
        <w:rPr>
          <w:rFonts w:ascii="Times New Roman" w:hAnsi="Times New Roman" w:cs="Times New Roman"/>
          <w:sz w:val="28"/>
          <w:szCs w:val="28"/>
        </w:rPr>
      </w:pPr>
      <w:r w:rsidRPr="00B718AC">
        <w:rPr>
          <w:rFonts w:ascii="Times New Roman" w:hAnsi="Times New Roman" w:cs="Times New Roman"/>
          <w:sz w:val="28"/>
          <w:szCs w:val="28"/>
        </w:rPr>
        <w:t>- Người trực tiếp giúp việc cho giám định viên tư pháp: 2.700.000.000 đồng (150 người x 1.500.000 đồng/người/tháng x 12 tháng).</w:t>
      </w:r>
    </w:p>
    <w:p w:rsidR="00B718AC" w:rsidRPr="00B718AC" w:rsidRDefault="00B718AC" w:rsidP="00B718AC">
      <w:pPr>
        <w:spacing w:before="120" w:line="288" w:lineRule="auto"/>
        <w:ind w:firstLine="607"/>
        <w:jc w:val="both"/>
        <w:rPr>
          <w:rFonts w:ascii="Times New Roman" w:hAnsi="Times New Roman" w:cs="Times New Roman"/>
          <w:sz w:val="28"/>
          <w:szCs w:val="28"/>
        </w:rPr>
      </w:pPr>
      <w:r w:rsidRPr="00B718AC">
        <w:rPr>
          <w:rFonts w:ascii="Times New Roman" w:hAnsi="Times New Roman" w:cs="Times New Roman"/>
          <w:sz w:val="28"/>
          <w:szCs w:val="28"/>
        </w:rPr>
        <w:t>- Người gián tiếp giúp việc cho giám định viên tư pháp: 348.000.000 (29 người x 1.000.000 đồng/người/tháng x 12 tháng).</w:t>
      </w:r>
    </w:p>
    <w:p w:rsidR="00B718AC" w:rsidRPr="00B718AC" w:rsidRDefault="00B718AC" w:rsidP="00B718AC">
      <w:pPr>
        <w:spacing w:before="120" w:line="288" w:lineRule="auto"/>
        <w:ind w:firstLine="607"/>
        <w:jc w:val="both"/>
        <w:rPr>
          <w:rFonts w:ascii="Times New Roman" w:hAnsi="Times New Roman" w:cs="Times New Roman"/>
          <w:sz w:val="28"/>
          <w:szCs w:val="28"/>
        </w:rPr>
      </w:pPr>
      <w:r w:rsidRPr="00B718AC">
        <w:rPr>
          <w:rFonts w:ascii="Times New Roman" w:hAnsi="Times New Roman" w:cs="Times New Roman"/>
          <w:sz w:val="28"/>
          <w:szCs w:val="28"/>
        </w:rPr>
        <w:t xml:space="preserve">Kinh phí do ngân sách Thành phố đảm bảo từ ngồn chi thường xuyên theo quy định của Luật Ngân sách nhà nước và các quy định hiện hành. </w:t>
      </w:r>
    </w:p>
    <w:p w:rsidR="00B718AC" w:rsidRPr="00B718AC" w:rsidRDefault="00B718AC" w:rsidP="00B718AC">
      <w:pPr>
        <w:spacing w:before="120" w:line="288" w:lineRule="auto"/>
        <w:ind w:firstLine="607"/>
        <w:jc w:val="both"/>
        <w:rPr>
          <w:rFonts w:ascii="Times New Roman" w:hAnsi="Times New Roman" w:cs="Times New Roman"/>
          <w:sz w:val="28"/>
          <w:szCs w:val="28"/>
        </w:rPr>
      </w:pPr>
      <w:r w:rsidRPr="00B718AC">
        <w:rPr>
          <w:rFonts w:ascii="Times New Roman" w:hAnsi="Times New Roman" w:cs="Times New Roman"/>
          <w:sz w:val="28"/>
          <w:szCs w:val="28"/>
        </w:rPr>
        <w:t xml:space="preserve">Như vậy, tổng mức kinh phí chi hỗ trợ cho giám định viên tư pháp và người làm công tác giám định tư pháp trên địa bàn Thành phố Hồ Chí Minh theo Nghị quyết thay thế  </w:t>
      </w:r>
      <w:r w:rsidRPr="00B718AC">
        <w:rPr>
          <w:rFonts w:ascii="Times New Roman" w:hAnsi="Times New Roman" w:cs="Times New Roman"/>
          <w:color w:val="auto"/>
          <w:sz w:val="28"/>
          <w:szCs w:val="28"/>
        </w:rPr>
        <w:t xml:space="preserve">là </w:t>
      </w:r>
      <w:r w:rsidRPr="00B718AC">
        <w:rPr>
          <w:rFonts w:ascii="Times New Roman" w:hAnsi="Times New Roman" w:cs="Times New Roman"/>
          <w:iCs/>
          <w:color w:val="auto"/>
          <w:sz w:val="28"/>
          <w:szCs w:val="28"/>
        </w:rPr>
        <w:t>11.538.000.000,  tăng 7.968.000.000 đồng</w:t>
      </w:r>
      <w:r w:rsidRPr="00B718AC">
        <w:rPr>
          <w:rFonts w:ascii="Times New Roman" w:hAnsi="Times New Roman" w:cs="Times New Roman"/>
          <w:i/>
          <w:iCs/>
          <w:color w:val="FF0000"/>
          <w:sz w:val="28"/>
          <w:szCs w:val="28"/>
        </w:rPr>
        <w:t xml:space="preserve"> </w:t>
      </w:r>
      <w:r w:rsidRPr="00B718AC">
        <w:rPr>
          <w:rFonts w:ascii="Times New Roman" w:hAnsi="Times New Roman" w:cs="Times New Roman"/>
          <w:sz w:val="28"/>
          <w:szCs w:val="28"/>
        </w:rPr>
        <w:t>so với trung bình các năm trước.</w:t>
      </w:r>
    </w:p>
    <w:p w:rsidR="00D327AC" w:rsidRDefault="007F4849">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b/>
          <w:i/>
          <w:sz w:val="28"/>
          <w:szCs w:val="28"/>
          <w:lang w:val="en-US"/>
        </w:rPr>
        <w:t>3</w:t>
      </w:r>
      <w:r w:rsidR="00C3636C">
        <w:rPr>
          <w:rFonts w:ascii="Times New Roman" w:hAnsi="Times New Roman" w:cs="Times New Roman"/>
          <w:b/>
          <w:i/>
          <w:sz w:val="28"/>
          <w:szCs w:val="28"/>
        </w:rPr>
        <w:t>.2. Đánh giá tác động của các giải pháp đối với đối tượng chịu sự tác động trực tiếp của chính sách và các đối tượng khác có liên quan</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i/>
          <w:sz w:val="28"/>
          <w:szCs w:val="28"/>
        </w:rPr>
        <w:lastRenderedPageBreak/>
        <w:t>a) Tác động đối với hệ thống pháp luật:</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bCs/>
          <w:sz w:val="28"/>
          <w:szCs w:val="28"/>
        </w:rPr>
        <w:t xml:space="preserve">- Tác động tích cực: </w:t>
      </w:r>
      <w:r>
        <w:rPr>
          <w:rFonts w:ascii="Times New Roman" w:hAnsi="Times New Roman" w:cs="Times New Roman"/>
          <w:bCs/>
          <w:sz w:val="28"/>
          <w:szCs w:val="28"/>
          <w:lang w:val="en-US"/>
        </w:rPr>
        <w:t>Tạo c</w:t>
      </w:r>
      <w:r>
        <w:rPr>
          <w:rFonts w:ascii="Times New Roman" w:hAnsi="Times New Roman" w:cs="Times New Roman"/>
          <w:bCs/>
          <w:sz w:val="28"/>
          <w:szCs w:val="28"/>
        </w:rPr>
        <w:t xml:space="preserve">ơ sở pháp lý để triển khai thực hiện </w:t>
      </w:r>
      <w:r>
        <w:rPr>
          <w:rFonts w:ascii="Times New Roman" w:hAnsi="Times New Roman" w:cs="Times New Roman"/>
          <w:bCs/>
          <w:sz w:val="28"/>
          <w:szCs w:val="28"/>
          <w:lang w:val="en-US"/>
        </w:rPr>
        <w:t xml:space="preserve">chế độ </w:t>
      </w:r>
      <w:r>
        <w:rPr>
          <w:rFonts w:ascii="Times New Roman" w:hAnsi="Times New Roman" w:cs="Times New Roman"/>
          <w:color w:val="auto"/>
          <w:sz w:val="28"/>
          <w:szCs w:val="28"/>
          <w:lang w:val="en-US"/>
        </w:rPr>
        <w:t>hỗ trợ cho giám định viên tư pháp và người làm công tác giám định trên địa bàn Thành phố Hồ Chí Minh</w:t>
      </w:r>
      <w:r>
        <w:rPr>
          <w:rFonts w:ascii="Times New Roman" w:hAnsi="Times New Roman" w:cs="Times New Roman"/>
          <w:bCs/>
          <w:sz w:val="28"/>
          <w:szCs w:val="28"/>
        </w:rPr>
        <w:t>.</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bCs/>
          <w:sz w:val="28"/>
          <w:szCs w:val="28"/>
        </w:rPr>
        <w:t>- Tác động tiêu cực: Không có.</w:t>
      </w:r>
      <w:r>
        <w:rPr>
          <w:rFonts w:ascii="Times New Roman" w:hAnsi="Times New Roman" w:cs="Times New Roman"/>
          <w:sz w:val="28"/>
          <w:szCs w:val="28"/>
        </w:rPr>
        <w:t xml:space="preserve">  </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i/>
          <w:sz w:val="28"/>
          <w:szCs w:val="28"/>
        </w:rPr>
        <w:t>b) Tác động về kinh tế - xã hội:</w:t>
      </w:r>
    </w:p>
    <w:p w:rsidR="00D327AC" w:rsidRDefault="00C3636C">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sz w:val="28"/>
          <w:szCs w:val="28"/>
        </w:rPr>
        <w:t xml:space="preserve">- Tác động tích cực: Trên cơ sở tiếp tục kế thừa và phát huy chính sách hỗ trợ </w:t>
      </w:r>
      <w:r>
        <w:rPr>
          <w:rFonts w:ascii="Times New Roman" w:hAnsi="Times New Roman" w:cs="Times New Roman"/>
          <w:color w:val="auto"/>
          <w:sz w:val="28"/>
          <w:szCs w:val="28"/>
          <w:lang w:val="en-US"/>
        </w:rPr>
        <w:t xml:space="preserve">cho giám định viên tư pháp và người làm công tác giám định trên địa bàn Thành phố Hồ Chí Minh theo Nghị quyết số 31/2011/NQ-HĐND ngày 07 tháng 12 năm 2011 của Hội đồng nhân dân Thành phố, việc xây dựng Nghị quyết thay thế Nghị quyết số 31/2011/NQ-HĐND nhằm nâng mức chi hỗ trợ cho giám định viên tư pháp và người làm công tác giám định tư pháp trên địa bàn Thành phố phù hợp với điều kiện thực tế hiện nay, </w:t>
      </w:r>
      <w:r>
        <w:rPr>
          <w:rFonts w:ascii="Times New Roman" w:hAnsi="Times New Roman" w:cs="Times New Roman"/>
          <w:sz w:val="28"/>
          <w:szCs w:val="28"/>
        </w:rPr>
        <w:t>khuyến khích, động viên các giám định viên tư pháp và người làm công tác giám định tư pháp trên địa bàn Thành phố tham gia hoạt động giám định, nâng cao hiệu quả hoạt động giám định tư pháp</w:t>
      </w:r>
      <w:r>
        <w:rPr>
          <w:rFonts w:ascii="Times New Roman" w:hAnsi="Times New Roman" w:cs="Times New Roman"/>
          <w:sz w:val="28"/>
          <w:szCs w:val="28"/>
          <w:lang w:val="en-US"/>
        </w:rPr>
        <w:t>, đáp ứng yêu cầu của các cơ quan tiến hành tố tụng trên địa bàn Thành phố Hồ Chí Minh</w:t>
      </w:r>
      <w:r>
        <w:rPr>
          <w:rFonts w:ascii="Times New Roman" w:hAnsi="Times New Roman" w:cs="Times New Roman"/>
          <w:sz w:val="28"/>
          <w:szCs w:val="28"/>
        </w:rPr>
        <w:t>.</w:t>
      </w:r>
    </w:p>
    <w:p w:rsidR="00D327AC" w:rsidRDefault="00C3636C">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 Tác động tiêu cực: Không có.</w:t>
      </w:r>
    </w:p>
    <w:p w:rsidR="00D327AC" w:rsidRDefault="00C3636C">
      <w:pPr>
        <w:tabs>
          <w:tab w:val="left" w:pos="567"/>
        </w:tabs>
        <w:spacing w:before="120" w:after="120"/>
        <w:jc w:val="both"/>
        <w:rPr>
          <w:rFonts w:ascii="Times New Roman" w:hAnsi="Times New Roman" w:cs="Times New Roman"/>
          <w:bCs/>
          <w:iCs/>
          <w:sz w:val="28"/>
          <w:szCs w:val="28"/>
          <w:lang w:eastAsia="zh-CN"/>
        </w:rPr>
      </w:pPr>
      <w:r>
        <w:rPr>
          <w:rFonts w:ascii="Times New Roman" w:hAnsi="Times New Roman" w:cs="Times New Roman"/>
          <w:b/>
          <w:bCs/>
          <w:sz w:val="28"/>
          <w:szCs w:val="28"/>
        </w:rPr>
        <w:tab/>
      </w:r>
      <w:r>
        <w:rPr>
          <w:rFonts w:ascii="Times New Roman" w:hAnsi="Times New Roman" w:cs="Times New Roman"/>
          <w:bCs/>
          <w:i/>
          <w:sz w:val="28"/>
          <w:szCs w:val="28"/>
        </w:rPr>
        <w:t>c) Tác động về giới:</w:t>
      </w:r>
      <w:r>
        <w:rPr>
          <w:rFonts w:ascii="Times New Roman" w:hAnsi="Times New Roman" w:cs="Times New Roman"/>
          <w:b/>
          <w:bCs/>
          <w:sz w:val="28"/>
          <w:szCs w:val="28"/>
        </w:rPr>
        <w:t xml:space="preserve"> </w:t>
      </w:r>
      <w:r>
        <w:rPr>
          <w:rFonts w:ascii="Times New Roman" w:hAnsi="Times New Roman" w:cs="Times New Roman"/>
          <w:bCs/>
          <w:iCs/>
          <w:sz w:val="28"/>
          <w:szCs w:val="28"/>
          <w:lang w:eastAsia="zh-CN"/>
        </w:rPr>
        <w:t>Không có.</w:t>
      </w:r>
    </w:p>
    <w:p w:rsidR="00D327AC" w:rsidRDefault="00C3636C">
      <w:pPr>
        <w:tabs>
          <w:tab w:val="left" w:pos="567"/>
        </w:tabs>
        <w:spacing w:before="120" w:after="120"/>
        <w:jc w:val="both"/>
        <w:rPr>
          <w:rFonts w:ascii="Times New Roman" w:hAnsi="Times New Roman" w:cs="Times New Roman"/>
          <w:b/>
          <w:sz w:val="28"/>
          <w:szCs w:val="28"/>
        </w:rPr>
      </w:pPr>
      <w:r>
        <w:rPr>
          <w:rFonts w:ascii="Times New Roman" w:hAnsi="Times New Roman" w:cs="Times New Roman"/>
          <w:b/>
          <w:bCs/>
          <w:sz w:val="28"/>
          <w:szCs w:val="28"/>
        </w:rPr>
        <w:tab/>
      </w:r>
      <w:r>
        <w:rPr>
          <w:rFonts w:ascii="Times New Roman" w:hAnsi="Times New Roman" w:cs="Times New Roman"/>
          <w:bCs/>
          <w:i/>
          <w:sz w:val="28"/>
          <w:szCs w:val="28"/>
        </w:rPr>
        <w:t>d) Về thủ tục hành</w:t>
      </w:r>
      <w:r>
        <w:rPr>
          <w:rFonts w:ascii="Times New Roman" w:hAnsi="Times New Roman" w:cs="Times New Roman"/>
          <w:bCs/>
          <w:i/>
          <w:spacing w:val="-7"/>
          <w:sz w:val="28"/>
          <w:szCs w:val="28"/>
        </w:rPr>
        <w:t xml:space="preserve"> </w:t>
      </w:r>
      <w:r>
        <w:rPr>
          <w:rFonts w:ascii="Times New Roman" w:hAnsi="Times New Roman" w:cs="Times New Roman"/>
          <w:bCs/>
          <w:i/>
          <w:sz w:val="28"/>
          <w:szCs w:val="28"/>
        </w:rPr>
        <w:t>chính:</w:t>
      </w:r>
      <w:r>
        <w:rPr>
          <w:rFonts w:ascii="Times New Roman" w:hAnsi="Times New Roman" w:cs="Times New Roman"/>
          <w:bCs/>
          <w:sz w:val="28"/>
          <w:szCs w:val="28"/>
        </w:rPr>
        <w:t xml:space="preserve"> </w:t>
      </w:r>
      <w:r>
        <w:rPr>
          <w:rFonts w:ascii="Times New Roman" w:hAnsi="Times New Roman" w:cs="Times New Roman"/>
          <w:bCs/>
          <w:iCs/>
          <w:sz w:val="28"/>
          <w:szCs w:val="28"/>
          <w:lang w:eastAsia="zh-CN"/>
        </w:rPr>
        <w:t>Việc triển khai thực hiện chính sách không làm phát sinh thủ tục hành chính.</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
          <w:color w:val="auto"/>
          <w:sz w:val="28"/>
          <w:szCs w:val="28"/>
        </w:rPr>
        <w:t>III. PHỤ LỤC</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auto"/>
          <w:sz w:val="28"/>
          <w:szCs w:val="28"/>
        </w:rPr>
        <w:t>Không có</w:t>
      </w:r>
      <w:r>
        <w:rPr>
          <w:rFonts w:ascii="Times New Roman" w:hAnsi="Times New Roman" w:cs="Times New Roman"/>
          <w:bCs/>
          <w:color w:val="auto"/>
          <w:sz w:val="28"/>
          <w:szCs w:val="28"/>
          <w:lang w:val="en-US"/>
        </w:rPr>
        <w:t>.</w:t>
      </w:r>
    </w:p>
    <w:p w:rsidR="00D327AC" w:rsidRDefault="00C3636C">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color w:val="auto"/>
          <w:sz w:val="28"/>
          <w:szCs w:val="28"/>
        </w:rPr>
        <w:t xml:space="preserve">Trên đây là Báo cáo đánh giá tác động của chính sách hỗ trợ cho giám định viên tư pháp và người làm công tác giám định tư pháp trên địa bàn Thành phố Hồ Chí Minh./.   </w:t>
      </w:r>
    </w:p>
    <w:p w:rsidR="00D327AC" w:rsidRDefault="00D327AC">
      <w:pPr>
        <w:tabs>
          <w:tab w:val="right" w:leader="dot" w:pos="7920"/>
        </w:tabs>
        <w:spacing w:before="120" w:after="120"/>
        <w:ind w:firstLine="777"/>
        <w:jc w:val="both"/>
        <w:rPr>
          <w:rFonts w:ascii="Times New Roman" w:hAnsi="Times New Roman" w:cs="Times New Roman"/>
          <w:color w:val="auto"/>
          <w:sz w:val="28"/>
          <w:szCs w:val="28"/>
        </w:rPr>
      </w:pPr>
    </w:p>
    <w:tbl>
      <w:tblPr>
        <w:tblW w:w="9322" w:type="dxa"/>
        <w:tblLook w:val="04A0" w:firstRow="1" w:lastRow="0" w:firstColumn="1" w:lastColumn="0" w:noHBand="0" w:noVBand="1"/>
      </w:tblPr>
      <w:tblGrid>
        <w:gridCol w:w="3828"/>
        <w:gridCol w:w="5494"/>
      </w:tblGrid>
      <w:tr w:rsidR="00D327AC">
        <w:tc>
          <w:tcPr>
            <w:tcW w:w="3828" w:type="dxa"/>
            <w:shd w:val="clear" w:color="auto" w:fill="auto"/>
          </w:tcPr>
          <w:p w:rsidR="00D327AC" w:rsidRDefault="00C3636C">
            <w:pPr>
              <w:tabs>
                <w:tab w:val="right" w:leader="dot" w:pos="7920"/>
              </w:tabs>
              <w:rPr>
                <w:rFonts w:ascii="Times New Roman" w:eastAsia="Times New Roman" w:hAnsi="Times New Roman" w:cs="Times New Roman"/>
                <w:b/>
                <w:i/>
                <w:color w:val="auto"/>
              </w:rPr>
            </w:pPr>
            <w:r>
              <w:rPr>
                <w:rFonts w:ascii="Times New Roman" w:hAnsi="Times New Roman" w:cs="Times New Roman"/>
                <w:sz w:val="28"/>
                <w:szCs w:val="28"/>
              </w:rPr>
              <w:br w:type="page"/>
            </w:r>
            <w:r>
              <w:rPr>
                <w:rFonts w:ascii="Times New Roman" w:eastAsia="Times New Roman" w:hAnsi="Times New Roman" w:cs="Times New Roman"/>
                <w:b/>
                <w:i/>
                <w:color w:val="auto"/>
              </w:rPr>
              <w:t xml:space="preserve">Nơi nhận: </w:t>
            </w:r>
          </w:p>
          <w:p w:rsidR="00D327AC" w:rsidRDefault="00C3636C">
            <w:pPr>
              <w:tabs>
                <w:tab w:val="right" w:leader="dot" w:pos="7920"/>
              </w:tabs>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-Thường trực HĐND Thành phố;</w:t>
            </w:r>
          </w:p>
          <w:p w:rsidR="00D327AC" w:rsidRDefault="00C3636C">
            <w:pPr>
              <w:tabs>
                <w:tab w:val="right" w:leader="dot" w:pos="7920"/>
              </w:tabs>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-Thường trực UBND Thành phố;</w:t>
            </w:r>
          </w:p>
          <w:p w:rsidR="00D327AC" w:rsidRDefault="00C3636C">
            <w:pPr>
              <w:tabs>
                <w:tab w:val="right" w:leader="dot" w:pos="7920"/>
              </w:tabs>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Lưu: VT.</w:t>
            </w:r>
          </w:p>
        </w:tc>
        <w:tc>
          <w:tcPr>
            <w:tcW w:w="5494" w:type="dxa"/>
            <w:shd w:val="clear" w:color="auto" w:fill="auto"/>
          </w:tcPr>
          <w:p w:rsidR="007F4849" w:rsidRDefault="007F4849">
            <w:pPr>
              <w:tabs>
                <w:tab w:val="right" w:leader="dot" w:pos="7920"/>
              </w:tabs>
              <w:jc w:val="center"/>
              <w:rPr>
                <w:rFonts w:ascii="Times New Roman" w:eastAsia="Times New Roman" w:hAnsi="Times New Roman" w:cs="Times New Roman"/>
                <w:b/>
                <w:color w:val="auto"/>
                <w:sz w:val="28"/>
                <w:szCs w:val="28"/>
                <w:lang w:val="en-US"/>
              </w:rPr>
            </w:pPr>
            <w:r>
              <w:rPr>
                <w:rFonts w:ascii="Times New Roman" w:eastAsia="Times New Roman" w:hAnsi="Times New Roman" w:cs="Times New Roman"/>
                <w:b/>
                <w:color w:val="auto"/>
                <w:sz w:val="28"/>
                <w:szCs w:val="28"/>
                <w:lang w:val="en-US"/>
              </w:rPr>
              <w:t>TM.ỦY BAN NHÂN DÂN</w:t>
            </w:r>
          </w:p>
          <w:p w:rsidR="00D327AC" w:rsidRDefault="00C3636C">
            <w:pPr>
              <w:tabs>
                <w:tab w:val="right" w:leader="dot" w:pos="7920"/>
              </w:tabs>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CHỦ TỊCH</w:t>
            </w:r>
          </w:p>
          <w:p w:rsidR="00D327AC" w:rsidRDefault="00D327AC">
            <w:pPr>
              <w:tabs>
                <w:tab w:val="right" w:leader="dot" w:pos="7920"/>
              </w:tabs>
              <w:rPr>
                <w:rFonts w:ascii="Times New Roman" w:eastAsia="Times New Roman" w:hAnsi="Times New Roman" w:cs="Times New Roman"/>
                <w:b/>
                <w:color w:val="auto"/>
                <w:sz w:val="28"/>
                <w:szCs w:val="28"/>
              </w:rPr>
            </w:pPr>
          </w:p>
          <w:p w:rsidR="00D327AC" w:rsidRDefault="00D327AC">
            <w:pPr>
              <w:tabs>
                <w:tab w:val="right" w:leader="dot" w:pos="7920"/>
              </w:tabs>
              <w:rPr>
                <w:rFonts w:ascii="Times New Roman" w:eastAsia="Times New Roman" w:hAnsi="Times New Roman" w:cs="Times New Roman"/>
                <w:b/>
                <w:color w:val="auto"/>
                <w:sz w:val="28"/>
                <w:szCs w:val="28"/>
              </w:rPr>
            </w:pPr>
          </w:p>
          <w:p w:rsidR="00D327AC" w:rsidRDefault="00D327AC">
            <w:pPr>
              <w:tabs>
                <w:tab w:val="right" w:leader="dot" w:pos="7920"/>
              </w:tabs>
              <w:rPr>
                <w:rFonts w:ascii="Times New Roman" w:eastAsia="Times New Roman" w:hAnsi="Times New Roman" w:cs="Times New Roman"/>
                <w:b/>
                <w:color w:val="auto"/>
                <w:sz w:val="28"/>
                <w:szCs w:val="28"/>
              </w:rPr>
            </w:pPr>
          </w:p>
          <w:p w:rsidR="00D327AC" w:rsidRDefault="00D327AC">
            <w:pPr>
              <w:tabs>
                <w:tab w:val="right" w:leader="dot" w:pos="7920"/>
              </w:tabs>
              <w:rPr>
                <w:rFonts w:ascii="Times New Roman" w:eastAsia="Times New Roman" w:hAnsi="Times New Roman" w:cs="Times New Roman"/>
                <w:b/>
                <w:color w:val="auto"/>
                <w:sz w:val="28"/>
                <w:szCs w:val="28"/>
              </w:rPr>
            </w:pPr>
          </w:p>
          <w:p w:rsidR="00D327AC" w:rsidRDefault="00D327AC">
            <w:pPr>
              <w:tabs>
                <w:tab w:val="right" w:leader="dot" w:pos="7920"/>
              </w:tabs>
              <w:jc w:val="center"/>
              <w:rPr>
                <w:rFonts w:ascii="Times New Roman" w:eastAsia="Times New Roman" w:hAnsi="Times New Roman" w:cs="Times New Roman"/>
                <w:b/>
                <w:color w:val="auto"/>
                <w:sz w:val="28"/>
                <w:szCs w:val="28"/>
              </w:rPr>
            </w:pPr>
          </w:p>
          <w:p w:rsidR="00D327AC" w:rsidRDefault="00D327AC">
            <w:pPr>
              <w:tabs>
                <w:tab w:val="right" w:leader="dot" w:pos="7920"/>
              </w:tabs>
              <w:jc w:val="center"/>
              <w:rPr>
                <w:rFonts w:ascii="Times New Roman" w:eastAsia="Times New Roman" w:hAnsi="Times New Roman" w:cs="Times New Roman"/>
                <w:b/>
                <w:color w:val="auto"/>
                <w:sz w:val="28"/>
                <w:szCs w:val="28"/>
              </w:rPr>
            </w:pPr>
          </w:p>
        </w:tc>
      </w:tr>
    </w:tbl>
    <w:p w:rsidR="00D327AC" w:rsidRDefault="00D327AC">
      <w:pPr>
        <w:tabs>
          <w:tab w:val="right" w:leader="dot" w:pos="7920"/>
        </w:tabs>
        <w:spacing w:before="144" w:after="144"/>
        <w:jc w:val="both"/>
        <w:rPr>
          <w:rFonts w:ascii="Times New Roman" w:hAnsi="Times New Roman" w:cs="Times New Roman"/>
          <w:sz w:val="2"/>
          <w:szCs w:val="28"/>
        </w:rPr>
      </w:pPr>
    </w:p>
    <w:sectPr w:rsidR="00D327AC" w:rsidSect="00423C7F">
      <w:headerReference w:type="default" r:id="rId8"/>
      <w:pgSz w:w="11907" w:h="16840"/>
      <w:pgMar w:top="1134"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C66" w:rsidRDefault="009B6C66">
      <w:r>
        <w:separator/>
      </w:r>
    </w:p>
  </w:endnote>
  <w:endnote w:type="continuationSeparator" w:id="0">
    <w:p w:rsidR="009B6C66" w:rsidRDefault="009B6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C66" w:rsidRDefault="009B6C66">
      <w:r>
        <w:separator/>
      </w:r>
    </w:p>
  </w:footnote>
  <w:footnote w:type="continuationSeparator" w:id="0">
    <w:p w:rsidR="009B6C66" w:rsidRDefault="009B6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1434387"/>
      <w:docPartObj>
        <w:docPartGallery w:val="AutoText"/>
      </w:docPartObj>
    </w:sdtPr>
    <w:sdtEndPr>
      <w:rPr>
        <w:rFonts w:ascii="Times New Roman" w:hAnsi="Times New Roman" w:cs="Times New Roman"/>
        <w:sz w:val="26"/>
        <w:szCs w:val="26"/>
      </w:rPr>
    </w:sdtEndPr>
    <w:sdtContent>
      <w:p w:rsidR="00D327AC" w:rsidRDefault="00C3636C">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453F5F">
          <w:rPr>
            <w:rFonts w:ascii="Times New Roman" w:hAnsi="Times New Roman" w:cs="Times New Roman"/>
            <w:noProof/>
            <w:sz w:val="26"/>
            <w:szCs w:val="26"/>
          </w:rPr>
          <w:t>10</w:t>
        </w:r>
        <w:r>
          <w:rPr>
            <w:rFonts w:ascii="Times New Roman" w:hAnsi="Times New Roman" w:cs="Times New Roman"/>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C76DFC"/>
    <w:multiLevelType w:val="hybridMultilevel"/>
    <w:tmpl w:val="59BE2D0C"/>
    <w:lvl w:ilvl="0" w:tplc="D650773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67"/>
    <w:rsid w:val="000029CF"/>
    <w:rsid w:val="00004922"/>
    <w:rsid w:val="000049FB"/>
    <w:rsid w:val="00006501"/>
    <w:rsid w:val="000161CF"/>
    <w:rsid w:val="00020AF6"/>
    <w:rsid w:val="00033D85"/>
    <w:rsid w:val="00040640"/>
    <w:rsid w:val="00050FD8"/>
    <w:rsid w:val="00057956"/>
    <w:rsid w:val="000663DA"/>
    <w:rsid w:val="0006777A"/>
    <w:rsid w:val="00075615"/>
    <w:rsid w:val="0007707C"/>
    <w:rsid w:val="000772D1"/>
    <w:rsid w:val="000776E1"/>
    <w:rsid w:val="000B04C1"/>
    <w:rsid w:val="00101ED7"/>
    <w:rsid w:val="001047B5"/>
    <w:rsid w:val="00114C5C"/>
    <w:rsid w:val="00124E5F"/>
    <w:rsid w:val="0014314C"/>
    <w:rsid w:val="0014724F"/>
    <w:rsid w:val="0015013A"/>
    <w:rsid w:val="0015194C"/>
    <w:rsid w:val="00160B52"/>
    <w:rsid w:val="00162A5B"/>
    <w:rsid w:val="00173276"/>
    <w:rsid w:val="0018566A"/>
    <w:rsid w:val="00194B23"/>
    <w:rsid w:val="001A1C1D"/>
    <w:rsid w:val="001A6933"/>
    <w:rsid w:val="001B14A7"/>
    <w:rsid w:val="001B4109"/>
    <w:rsid w:val="001C020E"/>
    <w:rsid w:val="001C0E1F"/>
    <w:rsid w:val="001D5CD1"/>
    <w:rsid w:val="001D62D1"/>
    <w:rsid w:val="001E09AE"/>
    <w:rsid w:val="001E0BDF"/>
    <w:rsid w:val="001E19FD"/>
    <w:rsid w:val="001E1A68"/>
    <w:rsid w:val="002012F4"/>
    <w:rsid w:val="002142AA"/>
    <w:rsid w:val="002144A8"/>
    <w:rsid w:val="00225477"/>
    <w:rsid w:val="00236901"/>
    <w:rsid w:val="00247D1D"/>
    <w:rsid w:val="002627EC"/>
    <w:rsid w:val="00273D1C"/>
    <w:rsid w:val="002821D8"/>
    <w:rsid w:val="002A3B03"/>
    <w:rsid w:val="002C0B46"/>
    <w:rsid w:val="002C7A73"/>
    <w:rsid w:val="00304079"/>
    <w:rsid w:val="0030767A"/>
    <w:rsid w:val="003124FC"/>
    <w:rsid w:val="00316C4A"/>
    <w:rsid w:val="0032428C"/>
    <w:rsid w:val="00366617"/>
    <w:rsid w:val="003927FC"/>
    <w:rsid w:val="003A2C74"/>
    <w:rsid w:val="003B2588"/>
    <w:rsid w:val="003B6426"/>
    <w:rsid w:val="003C5CC3"/>
    <w:rsid w:val="003E0AB0"/>
    <w:rsid w:val="004076CF"/>
    <w:rsid w:val="00417F13"/>
    <w:rsid w:val="004202F2"/>
    <w:rsid w:val="00423C7F"/>
    <w:rsid w:val="00425D46"/>
    <w:rsid w:val="004322EA"/>
    <w:rsid w:val="00434A5B"/>
    <w:rsid w:val="00453F5F"/>
    <w:rsid w:val="00463630"/>
    <w:rsid w:val="00463D8D"/>
    <w:rsid w:val="004653E6"/>
    <w:rsid w:val="00472728"/>
    <w:rsid w:val="00482522"/>
    <w:rsid w:val="004840E4"/>
    <w:rsid w:val="004843EA"/>
    <w:rsid w:val="00491453"/>
    <w:rsid w:val="004948CB"/>
    <w:rsid w:val="004A3738"/>
    <w:rsid w:val="004A651A"/>
    <w:rsid w:val="004A76D7"/>
    <w:rsid w:val="004B5301"/>
    <w:rsid w:val="004D54A6"/>
    <w:rsid w:val="004E4B48"/>
    <w:rsid w:val="004E5316"/>
    <w:rsid w:val="004F2E23"/>
    <w:rsid w:val="004F3B70"/>
    <w:rsid w:val="00503EE6"/>
    <w:rsid w:val="0050471C"/>
    <w:rsid w:val="00523CFA"/>
    <w:rsid w:val="00524F96"/>
    <w:rsid w:val="00553B80"/>
    <w:rsid w:val="00560B2D"/>
    <w:rsid w:val="00567C42"/>
    <w:rsid w:val="0057215A"/>
    <w:rsid w:val="00577A9C"/>
    <w:rsid w:val="005825E0"/>
    <w:rsid w:val="00583E40"/>
    <w:rsid w:val="00585F3B"/>
    <w:rsid w:val="005A5486"/>
    <w:rsid w:val="005B1F3D"/>
    <w:rsid w:val="005B2DE8"/>
    <w:rsid w:val="005B5044"/>
    <w:rsid w:val="005C284F"/>
    <w:rsid w:val="005C3176"/>
    <w:rsid w:val="005F7A50"/>
    <w:rsid w:val="00602EA0"/>
    <w:rsid w:val="006060FF"/>
    <w:rsid w:val="00610798"/>
    <w:rsid w:val="00615C00"/>
    <w:rsid w:val="0063202C"/>
    <w:rsid w:val="00644D19"/>
    <w:rsid w:val="006862A9"/>
    <w:rsid w:val="00687491"/>
    <w:rsid w:val="00697191"/>
    <w:rsid w:val="006A1C7C"/>
    <w:rsid w:val="006A4FFD"/>
    <w:rsid w:val="006B7DC2"/>
    <w:rsid w:val="006C02B5"/>
    <w:rsid w:val="006C0FEB"/>
    <w:rsid w:val="006C5E78"/>
    <w:rsid w:val="006D18E7"/>
    <w:rsid w:val="006D705B"/>
    <w:rsid w:val="006F394D"/>
    <w:rsid w:val="00705D10"/>
    <w:rsid w:val="00715A3E"/>
    <w:rsid w:val="0072037B"/>
    <w:rsid w:val="00720966"/>
    <w:rsid w:val="00727CB9"/>
    <w:rsid w:val="00733288"/>
    <w:rsid w:val="00734356"/>
    <w:rsid w:val="007505D1"/>
    <w:rsid w:val="007617AB"/>
    <w:rsid w:val="007662E8"/>
    <w:rsid w:val="00766BD4"/>
    <w:rsid w:val="00767B03"/>
    <w:rsid w:val="00775A53"/>
    <w:rsid w:val="0078551A"/>
    <w:rsid w:val="007A2FB2"/>
    <w:rsid w:val="007B1B40"/>
    <w:rsid w:val="007B4A74"/>
    <w:rsid w:val="007C1322"/>
    <w:rsid w:val="007C38D1"/>
    <w:rsid w:val="007C5A9F"/>
    <w:rsid w:val="007D265B"/>
    <w:rsid w:val="007E7674"/>
    <w:rsid w:val="007F4849"/>
    <w:rsid w:val="00817C6F"/>
    <w:rsid w:val="00821F8E"/>
    <w:rsid w:val="00822C1C"/>
    <w:rsid w:val="00824973"/>
    <w:rsid w:val="00830D1F"/>
    <w:rsid w:val="0083608F"/>
    <w:rsid w:val="00836C99"/>
    <w:rsid w:val="008422D7"/>
    <w:rsid w:val="00847416"/>
    <w:rsid w:val="00854507"/>
    <w:rsid w:val="008562AA"/>
    <w:rsid w:val="008570C8"/>
    <w:rsid w:val="00871A1D"/>
    <w:rsid w:val="008A4388"/>
    <w:rsid w:val="008A45BC"/>
    <w:rsid w:val="008A636A"/>
    <w:rsid w:val="008B3F40"/>
    <w:rsid w:val="008C6E1F"/>
    <w:rsid w:val="008F5EC4"/>
    <w:rsid w:val="00904EA1"/>
    <w:rsid w:val="00905142"/>
    <w:rsid w:val="00911F93"/>
    <w:rsid w:val="00926448"/>
    <w:rsid w:val="00934E06"/>
    <w:rsid w:val="00941247"/>
    <w:rsid w:val="00943005"/>
    <w:rsid w:val="00945D50"/>
    <w:rsid w:val="00945E93"/>
    <w:rsid w:val="00947A8C"/>
    <w:rsid w:val="00970BB8"/>
    <w:rsid w:val="00973006"/>
    <w:rsid w:val="00975AE2"/>
    <w:rsid w:val="00977DD5"/>
    <w:rsid w:val="009868FC"/>
    <w:rsid w:val="00987896"/>
    <w:rsid w:val="009A172D"/>
    <w:rsid w:val="009A4BFD"/>
    <w:rsid w:val="009B6C66"/>
    <w:rsid w:val="009C408E"/>
    <w:rsid w:val="009D1979"/>
    <w:rsid w:val="009D1C21"/>
    <w:rsid w:val="009F194F"/>
    <w:rsid w:val="009F72F2"/>
    <w:rsid w:val="00A1579B"/>
    <w:rsid w:val="00A40D8E"/>
    <w:rsid w:val="00A56C5E"/>
    <w:rsid w:val="00A642AB"/>
    <w:rsid w:val="00A721C7"/>
    <w:rsid w:val="00A77E62"/>
    <w:rsid w:val="00A82DA4"/>
    <w:rsid w:val="00A95EF2"/>
    <w:rsid w:val="00A972D2"/>
    <w:rsid w:val="00AA68D0"/>
    <w:rsid w:val="00AC0EE0"/>
    <w:rsid w:val="00AC5581"/>
    <w:rsid w:val="00AC6F26"/>
    <w:rsid w:val="00AD523C"/>
    <w:rsid w:val="00AD59DC"/>
    <w:rsid w:val="00AD611B"/>
    <w:rsid w:val="00AE372C"/>
    <w:rsid w:val="00AE7989"/>
    <w:rsid w:val="00AF0342"/>
    <w:rsid w:val="00B1598B"/>
    <w:rsid w:val="00B264BE"/>
    <w:rsid w:val="00B27301"/>
    <w:rsid w:val="00B3165C"/>
    <w:rsid w:val="00B40BA5"/>
    <w:rsid w:val="00B60A95"/>
    <w:rsid w:val="00B62C67"/>
    <w:rsid w:val="00B642DD"/>
    <w:rsid w:val="00B6473C"/>
    <w:rsid w:val="00B66D73"/>
    <w:rsid w:val="00B718AC"/>
    <w:rsid w:val="00B977FF"/>
    <w:rsid w:val="00BA305A"/>
    <w:rsid w:val="00BA3778"/>
    <w:rsid w:val="00BA3E39"/>
    <w:rsid w:val="00BC111A"/>
    <w:rsid w:val="00BC1A50"/>
    <w:rsid w:val="00BC5967"/>
    <w:rsid w:val="00BD4DE1"/>
    <w:rsid w:val="00BF1FC2"/>
    <w:rsid w:val="00BF3052"/>
    <w:rsid w:val="00BF7F58"/>
    <w:rsid w:val="00C244D9"/>
    <w:rsid w:val="00C3636C"/>
    <w:rsid w:val="00C53C3D"/>
    <w:rsid w:val="00C55D76"/>
    <w:rsid w:val="00C61D6C"/>
    <w:rsid w:val="00C62145"/>
    <w:rsid w:val="00C62B80"/>
    <w:rsid w:val="00C70CB6"/>
    <w:rsid w:val="00C74352"/>
    <w:rsid w:val="00C759E6"/>
    <w:rsid w:val="00C81A51"/>
    <w:rsid w:val="00C82370"/>
    <w:rsid w:val="00C83884"/>
    <w:rsid w:val="00C86994"/>
    <w:rsid w:val="00C906C1"/>
    <w:rsid w:val="00C93043"/>
    <w:rsid w:val="00C969A0"/>
    <w:rsid w:val="00CB47AB"/>
    <w:rsid w:val="00CB5AE9"/>
    <w:rsid w:val="00CB5F02"/>
    <w:rsid w:val="00CC5125"/>
    <w:rsid w:val="00CD65DB"/>
    <w:rsid w:val="00CE363D"/>
    <w:rsid w:val="00CF2B0C"/>
    <w:rsid w:val="00D12FF2"/>
    <w:rsid w:val="00D327AC"/>
    <w:rsid w:val="00D402F8"/>
    <w:rsid w:val="00D44346"/>
    <w:rsid w:val="00D6369E"/>
    <w:rsid w:val="00D72991"/>
    <w:rsid w:val="00D81364"/>
    <w:rsid w:val="00D85863"/>
    <w:rsid w:val="00DA3DBD"/>
    <w:rsid w:val="00DB1A07"/>
    <w:rsid w:val="00DB5A18"/>
    <w:rsid w:val="00DB737E"/>
    <w:rsid w:val="00DC0488"/>
    <w:rsid w:val="00DC50CC"/>
    <w:rsid w:val="00DD7A52"/>
    <w:rsid w:val="00DE464F"/>
    <w:rsid w:val="00DF09EB"/>
    <w:rsid w:val="00DF7C80"/>
    <w:rsid w:val="00E02969"/>
    <w:rsid w:val="00E05AF8"/>
    <w:rsid w:val="00E20677"/>
    <w:rsid w:val="00E22512"/>
    <w:rsid w:val="00E232ED"/>
    <w:rsid w:val="00E248D5"/>
    <w:rsid w:val="00E34729"/>
    <w:rsid w:val="00E54416"/>
    <w:rsid w:val="00E6022C"/>
    <w:rsid w:val="00E6194F"/>
    <w:rsid w:val="00E657C0"/>
    <w:rsid w:val="00E80888"/>
    <w:rsid w:val="00E82BAC"/>
    <w:rsid w:val="00E963F3"/>
    <w:rsid w:val="00EA604E"/>
    <w:rsid w:val="00EC15E0"/>
    <w:rsid w:val="00EC2067"/>
    <w:rsid w:val="00EF510B"/>
    <w:rsid w:val="00EF5492"/>
    <w:rsid w:val="00F07F37"/>
    <w:rsid w:val="00F12553"/>
    <w:rsid w:val="00F20867"/>
    <w:rsid w:val="00F26FDB"/>
    <w:rsid w:val="00F306FD"/>
    <w:rsid w:val="00F33F20"/>
    <w:rsid w:val="00F4297B"/>
    <w:rsid w:val="00F53B5B"/>
    <w:rsid w:val="00F56E07"/>
    <w:rsid w:val="00F7060B"/>
    <w:rsid w:val="00F7765E"/>
    <w:rsid w:val="00F817C1"/>
    <w:rsid w:val="00F82C38"/>
    <w:rsid w:val="00F867B8"/>
    <w:rsid w:val="00F86E06"/>
    <w:rsid w:val="00F87F14"/>
    <w:rsid w:val="00FA2014"/>
    <w:rsid w:val="00FA4905"/>
    <w:rsid w:val="00FB2735"/>
    <w:rsid w:val="00FB38D4"/>
    <w:rsid w:val="00FB6947"/>
    <w:rsid w:val="00FC7C42"/>
    <w:rsid w:val="00FD598C"/>
    <w:rsid w:val="00FE771A"/>
    <w:rsid w:val="00FF41EF"/>
    <w:rsid w:val="00FF42FC"/>
    <w:rsid w:val="2BD90ED0"/>
    <w:rsid w:val="3660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A20E858-D470-4270-84C3-7BED72B84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3">
    <w:name w:val="Body Text 3"/>
    <w:basedOn w:val="Normal"/>
    <w:link w:val="BodyText3Char"/>
    <w:uiPriority w:val="99"/>
    <w:semiHidden/>
    <w:unhideWhenUsed/>
    <w:pPr>
      <w:spacing w:after="120"/>
    </w:pPr>
    <w:rPr>
      <w:sz w:val="16"/>
      <w:szCs w:val="16"/>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pPr>
      <w:widowControl/>
      <w:jc w:val="center"/>
    </w:pPr>
    <w:rPr>
      <w:rFonts w:ascii="Times New Roman" w:eastAsia="Times New Roman" w:hAnsi="Times New Roman" w:cs="Times New Roman"/>
      <w:b/>
      <w:bCs/>
      <w:color w:val="auto"/>
      <w:sz w:val="28"/>
    </w:rPr>
  </w:style>
  <w:style w:type="character" w:customStyle="1" w:styleId="BodyText3Char">
    <w:name w:val="Body Text 3 Char"/>
    <w:basedOn w:val="DefaultParagraphFont"/>
    <w:link w:val="BodyText3"/>
    <w:uiPriority w:val="99"/>
    <w:semiHidden/>
    <w:rPr>
      <w:rFonts w:ascii="Courier New" w:eastAsia="Courier New" w:hAnsi="Courier New" w:cs="Courier New"/>
      <w:color w:val="000000"/>
      <w:sz w:val="16"/>
      <w:szCs w:val="16"/>
      <w:lang w:val="vi-VN" w:eastAsia="vi-VN"/>
    </w:rPr>
  </w:style>
  <w:style w:type="character" w:customStyle="1" w:styleId="TitleChar">
    <w:name w:val="Title Char"/>
    <w:basedOn w:val="DefaultParagraphFont"/>
    <w:link w:val="Title"/>
    <w:rPr>
      <w:rFonts w:ascii="Times New Roman" w:eastAsia="Times New Roman" w:hAnsi="Times New Roman" w:cs="Times New Roman"/>
      <w:b/>
      <w:bCs/>
      <w:sz w:val="28"/>
      <w:szCs w:val="24"/>
      <w:lang w:val="vi-VN" w:eastAsia="vi-VN"/>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rPr>
  </w:style>
  <w:style w:type="character" w:customStyle="1" w:styleId="fontstyle01">
    <w:name w:val="fontstyle01"/>
    <w:basedOn w:val="DefaultParagraphFont"/>
    <w:qFormat/>
    <w:rPr>
      <w:rFonts w:ascii="TimesNewRomanPSMT" w:hAnsi="TimesNewRomanPSMT" w:hint="default"/>
      <w:color w:val="000000"/>
      <w:sz w:val="28"/>
      <w:szCs w:val="28"/>
    </w:rPr>
  </w:style>
  <w:style w:type="character" w:customStyle="1" w:styleId="BalloonTextChar">
    <w:name w:val="Balloon Text Char"/>
    <w:basedOn w:val="DefaultParagraphFont"/>
    <w:link w:val="BalloonText"/>
    <w:uiPriority w:val="99"/>
    <w:semiHidden/>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3455</Words>
  <Characters>19698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qlbvr2021 qlbvr</dc:creator>
  <cp:lastModifiedBy>Le Tran Hoang Long</cp:lastModifiedBy>
  <cp:revision>7</cp:revision>
  <cp:lastPrinted>2024-10-30T11:52:00Z</cp:lastPrinted>
  <dcterms:created xsi:type="dcterms:W3CDTF">2024-10-30T04:01:00Z</dcterms:created>
  <dcterms:modified xsi:type="dcterms:W3CDTF">2024-10-31T01:03:00Z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EFFCD4F55A5E4E65AC3B0CBAF2CF2772_13</vt:lpwstr>
  </property>
</Properties>
</file>